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AF7F1">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outlineLvl w:val="0"/>
        <w:rPr>
          <w:rFonts w:hint="eastAsia" w:ascii="Calibri" w:hAnsi="Calibri" w:eastAsia="宋体" w:cs="Times New Roman"/>
          <w:b/>
          <w:sz w:val="36"/>
          <w:highlight w:val="none"/>
          <w:lang w:val="en-US" w:eastAsia="zh-Hans"/>
        </w:rPr>
      </w:pPr>
      <w:bookmarkStart w:id="0" w:name="_Toc8431"/>
      <w:bookmarkStart w:id="1" w:name="_Toc5723"/>
      <w:r>
        <w:rPr>
          <w:rFonts w:hint="eastAsia" w:ascii="Calibri" w:hAnsi="Calibri" w:eastAsia="宋体" w:cs="Times New Roman"/>
          <w:b/>
          <w:sz w:val="36"/>
          <w:highlight w:val="none"/>
          <w:lang w:val="en-US" w:eastAsia="zh-Hans"/>
        </w:rPr>
        <w:t>第</w:t>
      </w:r>
      <w:r>
        <w:rPr>
          <w:rFonts w:hint="eastAsia" w:ascii="Calibri" w:hAnsi="Calibri" w:eastAsia="宋体" w:cs="Times New Roman"/>
          <w:b/>
          <w:sz w:val="36"/>
          <w:highlight w:val="none"/>
          <w:lang w:val="en-US" w:eastAsia="zh-CN"/>
        </w:rPr>
        <w:t>八</w:t>
      </w:r>
      <w:r>
        <w:rPr>
          <w:rFonts w:hint="eastAsia" w:ascii="Calibri" w:hAnsi="Calibri" w:eastAsia="宋体" w:cs="Times New Roman"/>
          <w:b/>
          <w:sz w:val="36"/>
          <w:highlight w:val="none"/>
          <w:lang w:val="en-US" w:eastAsia="zh-Hans"/>
        </w:rPr>
        <w:t>章</w:t>
      </w:r>
      <w:r>
        <w:rPr>
          <w:rFonts w:hint="eastAsia" w:ascii="Calibri" w:hAnsi="Calibri" w:eastAsia="宋体" w:cs="Times New Roman"/>
          <w:b/>
          <w:sz w:val="36"/>
          <w:highlight w:val="none"/>
          <w:lang w:val="en-US" w:eastAsia="zh-CN"/>
        </w:rPr>
        <w:t xml:space="preserve"> </w:t>
      </w:r>
      <w:r>
        <w:rPr>
          <w:rFonts w:hint="eastAsia" w:ascii="Calibri" w:hAnsi="Calibri" w:eastAsia="宋体" w:cs="Times New Roman"/>
          <w:b/>
          <w:sz w:val="36"/>
          <w:highlight w:val="none"/>
          <w:lang w:val="en-US" w:eastAsia="zh-Hans"/>
        </w:rPr>
        <w:t>拟签订采购合同文本</w:t>
      </w:r>
      <w:bookmarkEnd w:id="0"/>
      <w:bookmarkEnd w:id="1"/>
    </w:p>
    <w:p w14:paraId="0963293D">
      <w:pPr>
        <w:keepNext w:val="0"/>
        <w:keepLines w:val="0"/>
        <w:pageBreakBefore w:val="0"/>
        <w:tabs>
          <w:tab w:val="left" w:pos="735"/>
        </w:tabs>
        <w:wordWrap/>
        <w:overflowPunct/>
        <w:topLinePunct w:val="0"/>
        <w:autoSpaceDE w:val="0"/>
        <w:autoSpaceDN w:val="0"/>
        <w:bidi w:val="0"/>
        <w:adjustRightInd w:val="0"/>
        <w:snapToGrid w:val="0"/>
        <w:spacing w:line="360" w:lineRule="auto"/>
        <w:jc w:val="center"/>
        <w:rPr>
          <w:rFonts w:ascii="宋体" w:hAnsi="宋体" w:eastAsia="宋体" w:cs="宋体"/>
          <w:b/>
          <w:bCs/>
          <w:sz w:val="20"/>
          <w:highlight w:val="none"/>
          <w:lang w:val="zh-CN"/>
        </w:rPr>
      </w:pPr>
      <w:r>
        <w:rPr>
          <w:rFonts w:hint="eastAsia" w:ascii="宋体" w:hAnsi="宋体" w:eastAsia="宋体" w:cs="宋体"/>
          <w:b/>
          <w:sz w:val="20"/>
          <w:highlight w:val="none"/>
          <w:lang w:val="zh-CN"/>
        </w:rPr>
        <w:t>（此合同草案条款，最终签订的合同以采购人确定的合同内容为准）</w:t>
      </w:r>
    </w:p>
    <w:p w14:paraId="260E18C5">
      <w:pPr>
        <w:keepNext w:val="0"/>
        <w:keepLines w:val="0"/>
        <w:pageBreakBefore w:val="0"/>
        <w:wordWrap/>
        <w:overflowPunct/>
        <w:topLinePunct w:val="0"/>
        <w:bidi w:val="0"/>
        <w:adjustRightInd w:val="0"/>
        <w:snapToGrid w:val="0"/>
        <w:spacing w:line="360" w:lineRule="auto"/>
        <w:rPr>
          <w:rFonts w:hint="eastAsia" w:ascii="宋体" w:hAnsi="宋体" w:eastAsia="宋体" w:cs="宋体"/>
          <w:sz w:val="32"/>
          <w:szCs w:val="32"/>
          <w:highlight w:val="none"/>
          <w:lang w:eastAsia="zh-CN"/>
        </w:rPr>
      </w:pPr>
      <w:bookmarkStart w:id="4" w:name="_GoBack"/>
      <w:r>
        <w:rPr>
          <w:rFonts w:hint="eastAsia" w:ascii="宋体" w:hAnsi="宋体" w:eastAsia="宋体" w:cs="宋体"/>
          <w:sz w:val="32"/>
          <w:szCs w:val="32"/>
          <w:highlight w:val="none"/>
          <w:lang w:eastAsia="zh-CN"/>
        </w:rPr>
        <w:drawing>
          <wp:anchor distT="0" distB="0" distL="114300" distR="114300" simplePos="0" relativeHeight="251660288" behindDoc="1" locked="0" layoutInCell="1" allowOverlap="1">
            <wp:simplePos x="0" y="0"/>
            <wp:positionH relativeFrom="column">
              <wp:posOffset>3149600</wp:posOffset>
            </wp:positionH>
            <wp:positionV relativeFrom="paragraph">
              <wp:posOffset>0</wp:posOffset>
            </wp:positionV>
            <wp:extent cx="2461260" cy="716280"/>
            <wp:effectExtent l="0" t="0" r="15240" b="7620"/>
            <wp:wrapThrough wrapText="bothSides">
              <wp:wrapPolygon>
                <wp:start x="0" y="0"/>
                <wp:lineTo x="0" y="21255"/>
                <wp:lineTo x="21399" y="21255"/>
                <wp:lineTo x="21399" y="0"/>
                <wp:lineTo x="0" y="0"/>
              </wp:wrapPolygon>
            </wp:wrapThrough>
            <wp:docPr id="1" name="图片 2" descr="77daedcb1d8f333c39a4b793d7d91b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77daedcb1d8f333c39a4b793d7d91b65"/>
                    <pic:cNvPicPr>
                      <a:picLocks noChangeAspect="1"/>
                    </pic:cNvPicPr>
                  </pic:nvPicPr>
                  <pic:blipFill>
                    <a:blip r:embed="rId9"/>
                    <a:stretch>
                      <a:fillRect/>
                    </a:stretch>
                  </pic:blipFill>
                  <pic:spPr>
                    <a:xfrm>
                      <a:off x="0" y="0"/>
                      <a:ext cx="2461260" cy="716280"/>
                    </a:xfrm>
                    <a:prstGeom prst="rect">
                      <a:avLst/>
                    </a:prstGeom>
                    <a:noFill/>
                    <a:ln>
                      <a:noFill/>
                    </a:ln>
                  </pic:spPr>
                </pic:pic>
              </a:graphicData>
            </a:graphic>
          </wp:anchor>
        </w:drawing>
      </w:r>
      <w:bookmarkEnd w:id="4"/>
      <w:r>
        <w:rPr>
          <w:rFonts w:hint="eastAsia" w:ascii="宋体" w:hAnsi="宋体" w:eastAsia="宋体" w:cs="宋体"/>
          <w:b/>
          <w:bCs/>
          <w:sz w:val="32"/>
          <w:szCs w:val="32"/>
          <w:highlight w:val="none"/>
        </w:rPr>
        <w:t>合同编号：</w:t>
      </w:r>
    </w:p>
    <w:p w14:paraId="17A23A84">
      <w:pPr>
        <w:keepNext w:val="0"/>
        <w:keepLines w:val="0"/>
        <w:pageBreakBefore w:val="0"/>
        <w:wordWrap/>
        <w:overflowPunct/>
        <w:topLinePunct w:val="0"/>
        <w:bidi w:val="0"/>
        <w:adjustRightInd w:val="0"/>
        <w:snapToGrid w:val="0"/>
        <w:spacing w:line="360" w:lineRule="auto"/>
        <w:rPr>
          <w:rFonts w:hint="eastAsia" w:ascii="宋体" w:hAnsi="宋体" w:eastAsia="宋体" w:cs="宋体"/>
          <w:sz w:val="24"/>
          <w:highlight w:val="none"/>
        </w:rPr>
      </w:pPr>
    </w:p>
    <w:p w14:paraId="02FC323A">
      <w:pPr>
        <w:keepNext w:val="0"/>
        <w:keepLines w:val="0"/>
        <w:pageBreakBefore w:val="0"/>
        <w:wordWrap/>
        <w:overflowPunct/>
        <w:topLinePunct w:val="0"/>
        <w:bidi w:val="0"/>
        <w:adjustRightInd w:val="0"/>
        <w:snapToGrid w:val="0"/>
        <w:spacing w:line="360" w:lineRule="auto"/>
        <w:rPr>
          <w:rFonts w:hint="eastAsia" w:ascii="宋体" w:hAnsi="宋体" w:eastAsia="宋体" w:cs="宋体"/>
          <w:sz w:val="24"/>
          <w:highlight w:val="none"/>
        </w:rPr>
      </w:pPr>
    </w:p>
    <w:p w14:paraId="40B3B4C3">
      <w:pPr>
        <w:keepNext w:val="0"/>
        <w:keepLines w:val="0"/>
        <w:pageBreakBefore w:val="0"/>
        <w:widowControl w:val="0"/>
        <w:wordWrap/>
        <w:overflowPunct/>
        <w:topLinePunct w:val="0"/>
        <w:bidi w:val="0"/>
        <w:adjustRightInd w:val="0"/>
        <w:snapToGrid w:val="0"/>
        <w:spacing w:before="0" w:beforeAutospacing="0" w:after="0" w:afterAutospacing="0" w:line="360" w:lineRule="auto"/>
        <w:jc w:val="center"/>
        <w:textAlignment w:val="baseline"/>
        <w:rPr>
          <w:rFonts w:hint="eastAsia" w:ascii="Calibri" w:hAnsi="Calibri" w:eastAsia="宋体" w:cs="Times New Roman"/>
          <w:b/>
          <w:bCs/>
          <w:kern w:val="2"/>
          <w:sz w:val="48"/>
          <w:szCs w:val="48"/>
          <w:highlight w:val="none"/>
          <w:lang w:val="en-US" w:eastAsia="zh-CN" w:bidi="ar-SA"/>
        </w:rPr>
      </w:pPr>
      <w:r>
        <w:rPr>
          <w:rFonts w:hint="eastAsia" w:ascii="Calibri" w:hAnsi="Calibri" w:eastAsia="宋体" w:cs="Times New Roman"/>
          <w:b/>
          <w:bCs/>
          <w:kern w:val="2"/>
          <w:sz w:val="48"/>
          <w:szCs w:val="48"/>
          <w:highlight w:val="none"/>
          <w:lang w:val="en-US" w:eastAsia="zh-CN" w:bidi="ar-SA"/>
        </w:rPr>
        <w:t>西安市第五医院</w:t>
      </w:r>
    </w:p>
    <w:p w14:paraId="1D1A9D5A">
      <w:pPr>
        <w:keepNext w:val="0"/>
        <w:keepLines w:val="0"/>
        <w:pageBreakBefore w:val="0"/>
        <w:widowControl w:val="0"/>
        <w:wordWrap/>
        <w:overflowPunct/>
        <w:topLinePunct w:val="0"/>
        <w:bidi w:val="0"/>
        <w:adjustRightInd w:val="0"/>
        <w:snapToGrid w:val="0"/>
        <w:spacing w:before="0" w:beforeAutospacing="0" w:after="0" w:afterAutospacing="0" w:line="360" w:lineRule="auto"/>
        <w:jc w:val="center"/>
        <w:textAlignment w:val="baseline"/>
        <w:rPr>
          <w:rFonts w:hint="eastAsia" w:ascii="Calibri" w:hAnsi="Calibri" w:eastAsia="宋体" w:cs="Times New Roman"/>
          <w:b/>
          <w:bCs/>
          <w:kern w:val="2"/>
          <w:sz w:val="48"/>
          <w:szCs w:val="48"/>
          <w:highlight w:val="none"/>
          <w:lang w:val="en-US" w:eastAsia="zh-CN" w:bidi="ar-SA"/>
        </w:rPr>
      </w:pPr>
      <w:r>
        <w:rPr>
          <w:rFonts w:hint="eastAsia" w:ascii="Calibri" w:hAnsi="Calibri" w:eastAsia="宋体" w:cs="Times New Roman"/>
          <w:b/>
          <w:bCs/>
          <w:kern w:val="2"/>
          <w:sz w:val="48"/>
          <w:szCs w:val="48"/>
          <w:highlight w:val="none"/>
          <w:lang w:val="en-US" w:eastAsia="zh-CN" w:bidi="ar-SA"/>
        </w:rPr>
        <w:t>（</w:t>
      </w:r>
      <w:r>
        <w:rPr>
          <w:rFonts w:hint="eastAsia" w:ascii="Calibri" w:hAnsi="Calibri" w:eastAsia="宋体" w:cs="Times New Roman"/>
          <w:b/>
          <w:bCs/>
          <w:kern w:val="2"/>
          <w:sz w:val="40"/>
          <w:szCs w:val="40"/>
          <w:highlight w:val="none"/>
          <w:lang w:val="en-US" w:eastAsia="zh-CN" w:bidi="ar-SA"/>
        </w:rPr>
        <w:t>项目名称：患者服务管理中心</w:t>
      </w:r>
      <w:r>
        <w:rPr>
          <w:rFonts w:hint="eastAsia" w:ascii="Calibri" w:hAnsi="Calibri" w:eastAsia="宋体" w:cs="Times New Roman"/>
          <w:b/>
          <w:bCs/>
          <w:kern w:val="2"/>
          <w:sz w:val="48"/>
          <w:szCs w:val="48"/>
          <w:highlight w:val="none"/>
          <w:lang w:val="en-US" w:eastAsia="zh-CN" w:bidi="ar-SA"/>
        </w:rPr>
        <w:t>）</w:t>
      </w:r>
    </w:p>
    <w:p w14:paraId="7CD977E0">
      <w:pPr>
        <w:keepNext w:val="0"/>
        <w:keepLines w:val="0"/>
        <w:pageBreakBefore w:val="0"/>
        <w:wordWrap/>
        <w:overflowPunct/>
        <w:topLinePunct w:val="0"/>
        <w:bidi w:val="0"/>
        <w:adjustRightInd w:val="0"/>
        <w:snapToGrid w:val="0"/>
        <w:spacing w:line="360" w:lineRule="auto"/>
        <w:ind w:left="2160"/>
        <w:rPr>
          <w:rFonts w:hint="eastAsia" w:ascii="宋体" w:hAnsi="宋体" w:eastAsia="宋体" w:cs="宋体"/>
          <w:b/>
          <w:bCs/>
          <w:sz w:val="72"/>
          <w:szCs w:val="72"/>
          <w:highlight w:val="none"/>
        </w:rPr>
      </w:pPr>
    </w:p>
    <w:p w14:paraId="0F3B2D88">
      <w:pPr>
        <w:keepNext w:val="0"/>
        <w:keepLines w:val="0"/>
        <w:pageBreakBefore w:val="0"/>
        <w:wordWrap/>
        <w:overflowPunct/>
        <w:topLinePunct w:val="0"/>
        <w:bidi w:val="0"/>
        <w:adjustRightInd w:val="0"/>
        <w:snapToGrid w:val="0"/>
        <w:spacing w:line="360" w:lineRule="auto"/>
        <w:ind w:firstLine="2891" w:firstLineChars="400"/>
        <w:rPr>
          <w:rFonts w:hint="eastAsia" w:ascii="宋体" w:hAnsi="宋体" w:eastAsia="宋体" w:cs="宋体"/>
          <w:b/>
          <w:bCs/>
          <w:sz w:val="72"/>
          <w:szCs w:val="72"/>
          <w:highlight w:val="none"/>
        </w:rPr>
      </w:pPr>
      <w:r>
        <w:rPr>
          <w:rFonts w:hint="eastAsia" w:ascii="宋体" w:hAnsi="宋体" w:eastAsia="宋体" w:cs="宋体"/>
          <w:b/>
          <w:bCs/>
          <w:sz w:val="72"/>
          <w:szCs w:val="72"/>
          <w:highlight w:val="none"/>
        </w:rPr>
        <w:t>服 务 合 同</w:t>
      </w:r>
    </w:p>
    <w:p w14:paraId="795A3C17">
      <w:pPr>
        <w:keepNext w:val="0"/>
        <w:keepLines w:val="0"/>
        <w:pageBreakBefore w:val="0"/>
        <w:widowControl w:val="0"/>
        <w:wordWrap/>
        <w:overflowPunct/>
        <w:topLinePunct w:val="0"/>
        <w:bidi w:val="0"/>
        <w:adjustRightInd w:val="0"/>
        <w:snapToGrid w:val="0"/>
        <w:spacing w:before="0" w:beforeAutospacing="0" w:after="0" w:afterAutospacing="0" w:line="360" w:lineRule="auto"/>
        <w:jc w:val="center"/>
        <w:textAlignment w:val="baseline"/>
        <w:rPr>
          <w:rFonts w:hint="eastAsia" w:ascii="Calibri" w:hAnsi="Calibri" w:eastAsia="宋体" w:cs="Times New Roman"/>
          <w:b/>
          <w:bCs/>
          <w:kern w:val="2"/>
          <w:sz w:val="48"/>
          <w:szCs w:val="48"/>
          <w:highlight w:val="none"/>
          <w:lang w:val="en-US" w:eastAsia="zh-CN" w:bidi="ar-SA"/>
        </w:rPr>
      </w:pPr>
      <w:r>
        <w:rPr>
          <w:rFonts w:hint="eastAsia" w:ascii="Calibri" w:hAnsi="Calibri" w:eastAsia="宋体" w:cs="Times New Roman"/>
          <w:b/>
          <w:bCs/>
          <w:kern w:val="2"/>
          <w:sz w:val="48"/>
          <w:szCs w:val="48"/>
          <w:highlight w:val="none"/>
          <w:lang w:val="en-US" w:eastAsia="zh-CN" w:bidi="ar-SA"/>
        </w:rPr>
        <w:t>（</w:t>
      </w:r>
      <w:r>
        <w:rPr>
          <w:rFonts w:hint="eastAsia" w:ascii="Calibri" w:hAnsi="Calibri" w:eastAsia="宋体" w:cs="Times New Roman"/>
          <w:b/>
          <w:bCs/>
          <w:kern w:val="2"/>
          <w:sz w:val="40"/>
          <w:szCs w:val="40"/>
          <w:highlight w:val="none"/>
          <w:lang w:val="en-US" w:eastAsia="zh-CN" w:bidi="ar-SA"/>
        </w:rPr>
        <w:t xml:space="preserve">项目编号：         </w:t>
      </w:r>
      <w:r>
        <w:rPr>
          <w:rFonts w:hint="eastAsia" w:ascii="Calibri" w:hAnsi="Calibri" w:eastAsia="宋体" w:cs="Times New Roman"/>
          <w:b/>
          <w:bCs/>
          <w:kern w:val="2"/>
          <w:sz w:val="48"/>
          <w:szCs w:val="48"/>
          <w:highlight w:val="none"/>
          <w:lang w:val="en-US" w:eastAsia="zh-CN" w:bidi="ar-SA"/>
        </w:rPr>
        <w:t>）</w:t>
      </w:r>
    </w:p>
    <w:p w14:paraId="639DDEDE">
      <w:pPr>
        <w:keepNext w:val="0"/>
        <w:keepLines w:val="0"/>
        <w:pageBreakBefore w:val="0"/>
        <w:wordWrap/>
        <w:overflowPunct/>
        <w:topLinePunct w:val="0"/>
        <w:bidi w:val="0"/>
        <w:adjustRightInd w:val="0"/>
        <w:snapToGrid w:val="0"/>
        <w:spacing w:line="360" w:lineRule="auto"/>
        <w:rPr>
          <w:rFonts w:hint="eastAsia" w:ascii="宋体" w:hAnsi="宋体" w:eastAsia="宋体" w:cs="宋体"/>
          <w:sz w:val="24"/>
          <w:highlight w:val="none"/>
        </w:rPr>
      </w:pPr>
    </w:p>
    <w:p w14:paraId="163351B6">
      <w:pPr>
        <w:keepNext w:val="0"/>
        <w:keepLines w:val="0"/>
        <w:pageBreakBefore w:val="0"/>
        <w:wordWrap/>
        <w:overflowPunct/>
        <w:topLinePunct w:val="0"/>
        <w:bidi w:val="0"/>
        <w:adjustRightInd w:val="0"/>
        <w:snapToGrid w:val="0"/>
        <w:spacing w:line="360" w:lineRule="auto"/>
        <w:rPr>
          <w:rFonts w:hint="eastAsia" w:ascii="宋体" w:hAnsi="宋体" w:eastAsia="宋体" w:cs="宋体"/>
          <w:sz w:val="24"/>
          <w:highlight w:val="none"/>
        </w:rPr>
      </w:pPr>
    </w:p>
    <w:p w14:paraId="2FB99560">
      <w:pPr>
        <w:keepNext w:val="0"/>
        <w:keepLines w:val="0"/>
        <w:pageBreakBefore w:val="0"/>
        <w:wordWrap/>
        <w:overflowPunct/>
        <w:topLinePunct w:val="0"/>
        <w:bidi w:val="0"/>
        <w:adjustRightInd w:val="0"/>
        <w:snapToGrid w:val="0"/>
        <w:spacing w:line="360" w:lineRule="auto"/>
        <w:rPr>
          <w:rFonts w:hint="eastAsia" w:ascii="宋体" w:hAnsi="宋体" w:eastAsia="宋体" w:cs="宋体"/>
          <w:sz w:val="24"/>
          <w:highlight w:val="none"/>
        </w:rPr>
      </w:pPr>
    </w:p>
    <w:p w14:paraId="76BF80F9">
      <w:pPr>
        <w:keepNext w:val="0"/>
        <w:keepLines w:val="0"/>
        <w:pageBreakBefore w:val="0"/>
        <w:wordWrap/>
        <w:overflowPunct/>
        <w:topLinePunct w:val="0"/>
        <w:bidi w:val="0"/>
        <w:adjustRightInd w:val="0"/>
        <w:snapToGrid w:val="0"/>
        <w:spacing w:line="360" w:lineRule="auto"/>
        <w:ind w:firstLine="2560" w:firstLineChars="800"/>
        <w:rPr>
          <w:rFonts w:hint="eastAsia" w:ascii="宋体" w:hAnsi="宋体" w:eastAsia="宋体" w:cs="宋体"/>
          <w:sz w:val="32"/>
          <w:szCs w:val="32"/>
          <w:highlight w:val="none"/>
        </w:rPr>
      </w:pPr>
      <w:r>
        <w:rPr>
          <w:rFonts w:hint="eastAsia" w:ascii="宋体" w:hAnsi="宋体" w:eastAsia="宋体" w:cs="宋体"/>
          <w:sz w:val="32"/>
          <w:szCs w:val="32"/>
          <w:highlight w:val="none"/>
        </w:rPr>
        <w:t>甲  方：西安市第五医院</w:t>
      </w:r>
    </w:p>
    <w:p w14:paraId="0541242F">
      <w:pPr>
        <w:keepNext w:val="0"/>
        <w:keepLines w:val="0"/>
        <w:pageBreakBefore w:val="0"/>
        <w:wordWrap/>
        <w:overflowPunct/>
        <w:topLinePunct w:val="0"/>
        <w:bidi w:val="0"/>
        <w:adjustRightInd w:val="0"/>
        <w:snapToGrid w:val="0"/>
        <w:spacing w:line="360" w:lineRule="auto"/>
        <w:ind w:firstLine="2560" w:firstLineChars="8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rPr>
        <w:t>乙  方：</w:t>
      </w:r>
    </w:p>
    <w:p w14:paraId="499BA8D6">
      <w:pPr>
        <w:keepNext w:val="0"/>
        <w:keepLines w:val="0"/>
        <w:pageBreakBefore w:val="0"/>
        <w:widowControl w:val="0"/>
        <w:wordWrap/>
        <w:overflowPunct/>
        <w:topLinePunct w:val="0"/>
        <w:bidi w:val="0"/>
        <w:adjustRightInd w:val="0"/>
        <w:snapToGrid w:val="0"/>
        <w:spacing w:line="360" w:lineRule="auto"/>
        <w:ind w:firstLine="560" w:firstLineChars="200"/>
        <w:jc w:val="both"/>
        <w:rPr>
          <w:rFonts w:hint="eastAsia" w:ascii="宋体" w:hAnsi="宋体" w:eastAsia="宋体" w:cs="宋体"/>
          <w:kern w:val="2"/>
          <w:sz w:val="28"/>
          <w:szCs w:val="22"/>
          <w:highlight w:val="none"/>
          <w:lang w:val="en-US" w:eastAsia="zh-CN" w:bidi="ar-SA"/>
        </w:rPr>
      </w:pPr>
    </w:p>
    <w:p w14:paraId="660CBD42">
      <w:pPr>
        <w:keepNext w:val="0"/>
        <w:keepLines w:val="0"/>
        <w:pageBreakBefore w:val="0"/>
        <w:wordWrap/>
        <w:overflowPunct/>
        <w:topLinePunct w:val="0"/>
        <w:bidi w:val="0"/>
        <w:adjustRightInd w:val="0"/>
        <w:snapToGrid w:val="0"/>
        <w:spacing w:line="360" w:lineRule="auto"/>
        <w:rPr>
          <w:rFonts w:hint="eastAsia" w:ascii="宋体" w:hAnsi="宋体" w:eastAsia="宋体" w:cs="宋体"/>
          <w:sz w:val="24"/>
          <w:highlight w:val="none"/>
        </w:rPr>
      </w:pPr>
    </w:p>
    <w:p w14:paraId="02F259FE">
      <w:pPr>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202</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年</w:t>
      </w:r>
      <w:r>
        <w:rPr>
          <w:rFonts w:hint="eastAsia" w:ascii="宋体" w:hAnsi="宋体" w:cs="宋体"/>
          <w:b/>
          <w:bCs/>
          <w:sz w:val="32"/>
          <w:szCs w:val="32"/>
          <w:highlight w:val="none"/>
          <w:lang w:val="en-US" w:eastAsia="zh-CN"/>
        </w:rPr>
        <w:t xml:space="preserve">  </w:t>
      </w:r>
      <w:r>
        <w:rPr>
          <w:rFonts w:hint="eastAsia" w:ascii="宋体" w:hAnsi="宋体" w:eastAsia="宋体" w:cs="宋体"/>
          <w:b/>
          <w:bCs/>
          <w:sz w:val="32"/>
          <w:szCs w:val="32"/>
          <w:highlight w:val="none"/>
        </w:rPr>
        <w:t>月</w:t>
      </w:r>
    </w:p>
    <w:p w14:paraId="43D6C416">
      <w:pPr>
        <w:keepNext w:val="0"/>
        <w:keepLines w:val="0"/>
        <w:pageBreakBefore w:val="0"/>
        <w:tabs>
          <w:tab w:val="left" w:pos="4300"/>
        </w:tabs>
        <w:wordWrap/>
        <w:overflowPunct/>
        <w:topLinePunct w:val="0"/>
        <w:bidi w:val="0"/>
        <w:adjustRightInd w:val="0"/>
        <w:snapToGrid w:val="0"/>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中国</w:t>
      </w:r>
      <w:r>
        <w:rPr>
          <w:rFonts w:hint="eastAsia" w:ascii="宋体" w:hAnsi="宋体" w:cs="宋体"/>
          <w:b/>
          <w:bCs/>
          <w:sz w:val="32"/>
          <w:szCs w:val="32"/>
          <w:highlight w:val="none"/>
          <w:lang w:val="en-US" w:eastAsia="zh-CN"/>
        </w:rPr>
        <w:t xml:space="preserve">   </w:t>
      </w:r>
      <w:r>
        <w:rPr>
          <w:rFonts w:hint="eastAsia" w:ascii="宋体" w:hAnsi="宋体" w:eastAsia="宋体" w:cs="宋体"/>
          <w:b/>
          <w:bCs/>
          <w:sz w:val="32"/>
          <w:szCs w:val="32"/>
          <w:highlight w:val="none"/>
        </w:rPr>
        <w:t>西安</w:t>
      </w:r>
    </w:p>
    <w:p w14:paraId="5F04CA2B">
      <w:pPr>
        <w:keepNext w:val="0"/>
        <w:keepLines w:val="0"/>
        <w:pageBreakBefore w:val="0"/>
        <w:tabs>
          <w:tab w:val="left" w:pos="4300"/>
        </w:tabs>
        <w:wordWrap/>
        <w:overflowPunct/>
        <w:topLinePunct w:val="0"/>
        <w:bidi w:val="0"/>
        <w:adjustRightInd w:val="0"/>
        <w:snapToGrid w:val="0"/>
        <w:spacing w:line="360" w:lineRule="auto"/>
        <w:ind w:left="3360"/>
        <w:rPr>
          <w:rFonts w:hint="eastAsia" w:ascii="宋体" w:hAnsi="宋体" w:eastAsia="宋体" w:cs="宋体"/>
          <w:sz w:val="20"/>
          <w:highlight w:val="none"/>
        </w:rPr>
        <w:sectPr>
          <w:headerReference r:id="rId3" w:type="default"/>
          <w:pgSz w:w="11900" w:h="16840"/>
          <w:pgMar w:top="1440" w:right="1440" w:bottom="1440" w:left="1418" w:header="1020" w:footer="1020" w:gutter="0"/>
          <w:pgBorders>
            <w:top w:val="none" w:sz="0" w:space="0"/>
            <w:left w:val="none" w:sz="0" w:space="0"/>
            <w:bottom w:val="none" w:sz="0" w:space="0"/>
            <w:right w:val="none" w:sz="0" w:space="0"/>
          </w:pgBorders>
          <w:pgNumType w:fmt="decimal"/>
          <w:cols w:space="720" w:num="1"/>
          <w:titlePg/>
          <w:docGrid w:linePitch="286" w:charSpace="0"/>
        </w:sectPr>
      </w:pPr>
    </w:p>
    <w:p w14:paraId="11AE862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kern w:val="2"/>
          <w:sz w:val="24"/>
          <w:szCs w:val="24"/>
          <w:highlight w:val="none"/>
          <w:lang w:val="en-US" w:eastAsia="zh-CN" w:bidi="ar-SA"/>
        </w:rPr>
      </w:pPr>
      <w:r>
        <w:rPr>
          <w:rFonts w:ascii="宋体" w:hAnsi="宋体" w:eastAsia="宋体" w:cs="Times New Roman"/>
          <w:kern w:val="2"/>
          <w:sz w:val="24"/>
          <w:szCs w:val="24"/>
          <w:highlight w:val="none"/>
          <w:lang w:val="en-US" w:eastAsia="zh-CN" w:bidi="ar-SA"/>
        </w:rPr>
        <w:t>甲方：</w:t>
      </w:r>
      <w:r>
        <w:rPr>
          <w:rFonts w:hint="eastAsia" w:ascii="宋体" w:hAnsi="宋体" w:eastAsia="宋体" w:cs="Times New Roman"/>
          <w:kern w:val="2"/>
          <w:sz w:val="24"/>
          <w:szCs w:val="24"/>
          <w:highlight w:val="none"/>
          <w:lang w:val="en-US" w:eastAsia="zh-CN" w:bidi="ar-SA"/>
        </w:rPr>
        <w:t>西安市第五医院</w:t>
      </w:r>
    </w:p>
    <w:p w14:paraId="40F2332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kern w:val="2"/>
          <w:sz w:val="24"/>
          <w:szCs w:val="24"/>
          <w:highlight w:val="none"/>
          <w:lang w:val="en-US" w:eastAsia="zh-CN" w:bidi="ar-SA"/>
        </w:rPr>
      </w:pPr>
      <w:r>
        <w:rPr>
          <w:rFonts w:ascii="宋体" w:hAnsi="宋体" w:eastAsia="宋体" w:cs="Times New Roman"/>
          <w:kern w:val="2"/>
          <w:sz w:val="24"/>
          <w:szCs w:val="24"/>
          <w:highlight w:val="none"/>
          <w:lang w:val="en-US" w:eastAsia="zh-CN" w:bidi="ar-SA"/>
        </w:rPr>
        <w:t>地址：</w:t>
      </w:r>
      <w:r>
        <w:rPr>
          <w:rFonts w:hint="eastAsia" w:ascii="宋体" w:hAnsi="宋体" w:eastAsia="宋体" w:cs="Times New Roman"/>
          <w:kern w:val="2"/>
          <w:sz w:val="24"/>
          <w:szCs w:val="24"/>
          <w:highlight w:val="none"/>
          <w:lang w:val="en-US" w:eastAsia="zh-CN" w:bidi="ar-SA"/>
        </w:rPr>
        <w:t>西安市莲湖区西关正街112号</w:t>
      </w:r>
    </w:p>
    <w:p w14:paraId="3634CF9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kern w:val="2"/>
          <w:sz w:val="24"/>
          <w:szCs w:val="24"/>
          <w:highlight w:val="none"/>
          <w:lang w:val="en-US" w:eastAsia="zh-CN" w:bidi="ar-SA"/>
        </w:rPr>
      </w:pPr>
      <w:r>
        <w:rPr>
          <w:rFonts w:ascii="宋体" w:hAnsi="宋体" w:eastAsia="宋体" w:cs="Times New Roman"/>
          <w:kern w:val="2"/>
          <w:sz w:val="24"/>
          <w:szCs w:val="24"/>
          <w:highlight w:val="none"/>
          <w:lang w:val="en-US" w:eastAsia="zh-CN" w:bidi="ar-SA"/>
        </w:rPr>
        <w:t>电话：</w:t>
      </w:r>
      <w:r>
        <w:rPr>
          <w:rFonts w:hint="eastAsia" w:ascii="宋体" w:hAnsi="宋体" w:eastAsia="宋体" w:cs="Times New Roman"/>
          <w:kern w:val="2"/>
          <w:sz w:val="24"/>
          <w:szCs w:val="24"/>
          <w:highlight w:val="none"/>
          <w:lang w:val="en-US" w:eastAsia="zh-CN" w:bidi="ar-SA"/>
        </w:rPr>
        <w:t>029-84696366</w:t>
      </w:r>
    </w:p>
    <w:p w14:paraId="6CE153E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乙方：</w:t>
      </w:r>
    </w:p>
    <w:p w14:paraId="1993D7F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2"/>
          <w:sz w:val="24"/>
          <w:szCs w:val="24"/>
          <w:highlight w:val="none"/>
          <w:lang w:val="en-US" w:eastAsia="zh-CN" w:bidi="ar-SA"/>
        </w:rPr>
      </w:pPr>
      <w:r>
        <w:rPr>
          <w:rFonts w:ascii="Times New Roman" w:hAnsi="Times New Roman" w:eastAsia="宋体" w:cs="Times New Roman"/>
          <w:kern w:val="2"/>
          <w:sz w:val="24"/>
          <w:szCs w:val="24"/>
          <w:highlight w:val="none"/>
          <w:lang w:val="en-US" w:eastAsia="zh-CN" w:bidi="ar-SA"/>
        </w:rPr>
        <w:t>地址：</w:t>
      </w:r>
    </w:p>
    <w:p w14:paraId="364DAF9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kern w:val="2"/>
          <w:sz w:val="24"/>
          <w:szCs w:val="24"/>
          <w:highlight w:val="none"/>
          <w:lang w:val="en-US" w:eastAsia="zh-CN" w:bidi="ar-SA"/>
        </w:rPr>
      </w:pPr>
      <w:r>
        <w:rPr>
          <w:rFonts w:ascii="Times New Roman" w:hAnsi="Times New Roman" w:eastAsia="宋体" w:cs="Times New Roman"/>
          <w:kern w:val="2"/>
          <w:sz w:val="24"/>
          <w:szCs w:val="24"/>
          <w:highlight w:val="none"/>
          <w:lang w:val="en-US" w:eastAsia="zh-CN" w:bidi="ar-SA"/>
        </w:rPr>
        <w:t>电话：</w:t>
      </w:r>
      <w:r>
        <w:rPr>
          <w:rFonts w:ascii="宋体" w:hAnsi="宋体" w:eastAsia="宋体" w:cs="Times New Roman"/>
          <w:kern w:val="2"/>
          <w:sz w:val="24"/>
          <w:szCs w:val="24"/>
          <w:highlight w:val="none"/>
          <w:lang w:val="en-US" w:eastAsia="zh-CN" w:bidi="ar-SA"/>
        </w:rPr>
        <w:t xml:space="preserve">              </w:t>
      </w:r>
    </w:p>
    <w:p w14:paraId="4A732913">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ascii="宋体" w:hAnsi="宋体" w:eastAsia="宋体" w:cs="Times New Roman"/>
          <w:kern w:val="2"/>
          <w:sz w:val="24"/>
          <w:szCs w:val="20"/>
          <w:highlight w:val="none"/>
          <w:lang w:val="en-US" w:eastAsia="zh-CN" w:bidi="ar-SA"/>
        </w:rPr>
      </w:pPr>
      <w:r>
        <w:rPr>
          <w:rFonts w:ascii="宋体" w:hAnsi="宋体" w:eastAsia="宋体" w:cs="Times New Roman"/>
          <w:b/>
          <w:kern w:val="2"/>
          <w:sz w:val="24"/>
          <w:szCs w:val="20"/>
          <w:highlight w:val="none"/>
          <w:lang w:val="en-US" w:eastAsia="zh-CN" w:bidi="ar-SA"/>
        </w:rPr>
        <w:t>1</w:t>
      </w:r>
      <w:r>
        <w:rPr>
          <w:rFonts w:ascii="宋体" w:hAnsi="宋体" w:eastAsia="宋体" w:cs="Times New Roman"/>
          <w:kern w:val="2"/>
          <w:sz w:val="24"/>
          <w:szCs w:val="20"/>
          <w:highlight w:val="none"/>
          <w:lang w:val="en-US" w:eastAsia="zh-CN" w:bidi="ar-SA"/>
        </w:rPr>
        <w:t>．</w:t>
      </w:r>
      <w:r>
        <w:rPr>
          <w:rFonts w:ascii="宋体" w:hAnsi="宋体" w:eastAsia="宋体" w:cs="Times New Roman"/>
          <w:b/>
          <w:kern w:val="2"/>
          <w:sz w:val="24"/>
          <w:szCs w:val="20"/>
          <w:highlight w:val="none"/>
          <w:lang w:val="en-US" w:eastAsia="zh-CN" w:bidi="ar-SA"/>
        </w:rPr>
        <w:t>简述</w:t>
      </w:r>
    </w:p>
    <w:p w14:paraId="4BFFC637">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kern w:val="2"/>
          <w:sz w:val="24"/>
          <w:szCs w:val="24"/>
          <w:highlight w:val="none"/>
          <w:lang w:val="en-US" w:eastAsia="zh-CN" w:bidi="ar-SA"/>
        </w:rPr>
      </w:pPr>
      <w:r>
        <w:rPr>
          <w:rFonts w:ascii="宋体" w:hAnsi="宋体" w:eastAsia="宋体" w:cs="Times New Roman"/>
          <w:kern w:val="2"/>
          <w:sz w:val="24"/>
          <w:szCs w:val="20"/>
          <w:highlight w:val="none"/>
          <w:lang w:val="en-US" w:eastAsia="zh-CN" w:bidi="ar-SA"/>
        </w:rPr>
        <w:t>1.1</w:t>
      </w:r>
      <w:r>
        <w:rPr>
          <w:rFonts w:ascii="宋体" w:hAnsi="宋体" w:eastAsia="宋体" w:cs="Times New Roman"/>
          <w:kern w:val="2"/>
          <w:sz w:val="24"/>
          <w:szCs w:val="24"/>
          <w:highlight w:val="none"/>
          <w:u w:val="single"/>
          <w:lang w:val="en-US" w:eastAsia="zh-CN" w:bidi="ar-SA"/>
        </w:rPr>
        <w:t>服务范围及性质</w:t>
      </w:r>
    </w:p>
    <w:p w14:paraId="670DB27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000000"/>
          <w:kern w:val="2"/>
          <w:sz w:val="24"/>
          <w:szCs w:val="24"/>
          <w:highlight w:val="none"/>
          <w:lang w:val="en-US" w:eastAsia="zh-CN" w:bidi="ar-SA"/>
        </w:rPr>
      </w:pPr>
      <w:r>
        <w:rPr>
          <w:rFonts w:ascii="宋体" w:hAnsi="宋体" w:eastAsia="宋体" w:cs="Times New Roman"/>
          <w:kern w:val="2"/>
          <w:sz w:val="24"/>
          <w:szCs w:val="24"/>
          <w:highlight w:val="none"/>
          <w:lang w:val="en-US" w:eastAsia="zh-CN" w:bidi="ar-SA"/>
        </w:rPr>
        <w:t>按照</w:t>
      </w:r>
      <w:r>
        <w:rPr>
          <w:rFonts w:hint="eastAsia" w:ascii="宋体" w:hAnsi="宋体" w:eastAsia="宋体" w:cs="Times New Roman"/>
          <w:kern w:val="2"/>
          <w:sz w:val="24"/>
          <w:szCs w:val="24"/>
          <w:highlight w:val="none"/>
          <w:lang w:val="en-US" w:eastAsia="zh-CN" w:bidi="ar-SA"/>
        </w:rPr>
        <w:t>本协议约定内容由乙方</w:t>
      </w:r>
      <w:r>
        <w:rPr>
          <w:rFonts w:ascii="宋体" w:hAnsi="宋体" w:eastAsia="宋体" w:cs="Times New Roman"/>
          <w:kern w:val="2"/>
          <w:sz w:val="24"/>
          <w:szCs w:val="24"/>
          <w:highlight w:val="none"/>
          <w:lang w:val="en-US" w:eastAsia="zh-CN" w:bidi="ar-SA"/>
        </w:rPr>
        <w:t>为</w:t>
      </w:r>
      <w:r>
        <w:rPr>
          <w:rFonts w:hint="eastAsia" w:ascii="宋体" w:hAnsi="宋体" w:eastAsia="宋体" w:cs="Times New Roman"/>
          <w:kern w:val="2"/>
          <w:sz w:val="24"/>
          <w:szCs w:val="24"/>
          <w:highlight w:val="none"/>
          <w:lang w:val="en-US" w:eastAsia="zh-CN" w:bidi="ar-SA"/>
        </w:rPr>
        <w:t>甲方</w:t>
      </w:r>
      <w:r>
        <w:rPr>
          <w:rFonts w:ascii="宋体" w:hAnsi="宋体" w:eastAsia="宋体" w:cs="Times New Roman"/>
          <w:color w:val="000000"/>
          <w:kern w:val="2"/>
          <w:sz w:val="24"/>
          <w:szCs w:val="24"/>
          <w:highlight w:val="none"/>
          <w:lang w:val="en-US" w:eastAsia="zh-CN" w:bidi="ar-SA"/>
        </w:rPr>
        <w:t>提供</w:t>
      </w:r>
      <w:r>
        <w:rPr>
          <w:rFonts w:hint="eastAsia" w:ascii="宋体" w:hAnsi="宋体" w:eastAsia="宋体" w:cs="Times New Roman"/>
          <w:color w:val="000000"/>
          <w:kern w:val="2"/>
          <w:sz w:val="24"/>
          <w:szCs w:val="24"/>
          <w:highlight w:val="none"/>
          <w:lang w:val="en-US" w:eastAsia="zh-CN" w:bidi="ar-SA"/>
        </w:rPr>
        <w:t>患者服务管理中心业务及全院一站式信息化服务平台</w:t>
      </w:r>
      <w:r>
        <w:rPr>
          <w:rFonts w:ascii="宋体" w:hAnsi="宋体" w:eastAsia="宋体" w:cs="Times New Roman"/>
          <w:color w:val="000000"/>
          <w:kern w:val="2"/>
          <w:sz w:val="24"/>
          <w:szCs w:val="24"/>
          <w:highlight w:val="none"/>
          <w:lang w:val="en-US" w:eastAsia="zh-CN" w:bidi="ar-SA"/>
        </w:rPr>
        <w:t>，并由</w:t>
      </w:r>
      <w:r>
        <w:rPr>
          <w:rFonts w:hint="eastAsia" w:ascii="宋体" w:hAnsi="宋体" w:eastAsia="宋体" w:cs="Times New Roman"/>
          <w:color w:val="000000"/>
          <w:kern w:val="2"/>
          <w:sz w:val="24"/>
          <w:szCs w:val="24"/>
          <w:highlight w:val="none"/>
          <w:lang w:val="en-US" w:eastAsia="zh-CN" w:bidi="ar-SA"/>
        </w:rPr>
        <w:t>乙方</w:t>
      </w:r>
      <w:r>
        <w:rPr>
          <w:rFonts w:ascii="宋体" w:hAnsi="宋体" w:eastAsia="宋体" w:cs="Times New Roman"/>
          <w:color w:val="000000"/>
          <w:kern w:val="2"/>
          <w:sz w:val="24"/>
          <w:szCs w:val="24"/>
          <w:highlight w:val="none"/>
          <w:lang w:val="en-US" w:eastAsia="zh-CN" w:bidi="ar-SA"/>
        </w:rPr>
        <w:t>提供专业的管理队伍</w:t>
      </w:r>
      <w:r>
        <w:rPr>
          <w:rFonts w:hint="eastAsia" w:ascii="宋体" w:hAnsi="宋体" w:eastAsia="宋体" w:cs="Times New Roman"/>
          <w:color w:val="000000"/>
          <w:kern w:val="2"/>
          <w:sz w:val="24"/>
          <w:szCs w:val="24"/>
          <w:highlight w:val="none"/>
          <w:lang w:val="en-US" w:eastAsia="zh-CN" w:bidi="ar-SA"/>
        </w:rPr>
        <w:t>提供相应</w:t>
      </w:r>
      <w:r>
        <w:rPr>
          <w:rFonts w:ascii="宋体" w:hAnsi="宋体" w:eastAsia="宋体" w:cs="Times New Roman"/>
          <w:color w:val="000000"/>
          <w:kern w:val="2"/>
          <w:sz w:val="24"/>
          <w:szCs w:val="24"/>
          <w:highlight w:val="none"/>
          <w:lang w:val="en-US" w:eastAsia="zh-CN" w:bidi="ar-SA"/>
        </w:rPr>
        <w:t>的管理服务</w:t>
      </w:r>
      <w:r>
        <w:rPr>
          <w:rFonts w:hint="eastAsia" w:ascii="宋体" w:hAnsi="宋体" w:eastAsia="宋体" w:cs="Times New Roman"/>
          <w:color w:val="000000"/>
          <w:kern w:val="2"/>
          <w:sz w:val="24"/>
          <w:szCs w:val="24"/>
          <w:highlight w:val="none"/>
          <w:lang w:val="en-US" w:eastAsia="zh-CN" w:bidi="ar-SA"/>
        </w:rPr>
        <w:t>，甲乙双方协商一致，达成如下条款</w:t>
      </w:r>
      <w:r>
        <w:rPr>
          <w:rFonts w:ascii="宋体" w:hAnsi="宋体" w:eastAsia="宋体" w:cs="Times New Roman"/>
          <w:color w:val="000000"/>
          <w:kern w:val="2"/>
          <w:sz w:val="24"/>
          <w:szCs w:val="24"/>
          <w:highlight w:val="none"/>
          <w:lang w:val="en-US" w:eastAsia="zh-CN" w:bidi="ar-SA"/>
        </w:rPr>
        <w:t>。</w:t>
      </w:r>
    </w:p>
    <w:p w14:paraId="79F397C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000000"/>
          <w:kern w:val="2"/>
          <w:sz w:val="24"/>
          <w:szCs w:val="24"/>
          <w:highlight w:val="none"/>
          <w:lang w:val="en-US" w:eastAsia="zh-CN" w:bidi="ar-SA"/>
        </w:rPr>
      </w:pPr>
      <w:r>
        <w:rPr>
          <w:rFonts w:ascii="宋体" w:hAnsi="宋体" w:eastAsia="宋体" w:cs="Times New Roman"/>
          <w:color w:val="000000"/>
          <w:kern w:val="2"/>
          <w:sz w:val="24"/>
          <w:szCs w:val="24"/>
          <w:highlight w:val="none"/>
          <w:lang w:val="en-US" w:eastAsia="zh-CN" w:bidi="ar-SA"/>
        </w:rPr>
        <w:t>1.2</w:t>
      </w:r>
      <w:r>
        <w:rPr>
          <w:rFonts w:ascii="宋体" w:hAnsi="宋体" w:eastAsia="宋体" w:cs="Times New Roman"/>
          <w:color w:val="000000"/>
          <w:kern w:val="2"/>
          <w:sz w:val="24"/>
          <w:szCs w:val="24"/>
          <w:highlight w:val="none"/>
          <w:u w:val="single"/>
          <w:lang w:val="en-US" w:eastAsia="zh-CN" w:bidi="ar-SA"/>
        </w:rPr>
        <w:t>甲方给予支持的承诺</w:t>
      </w:r>
    </w:p>
    <w:p w14:paraId="4082AC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eastAsia="宋体" w:cs="Times New Roman"/>
          <w:color w:val="000000"/>
          <w:kern w:val="2"/>
          <w:sz w:val="24"/>
          <w:szCs w:val="24"/>
          <w:highlight w:val="none"/>
          <w:lang w:val="en-US" w:eastAsia="zh-CN" w:bidi="ar-SA"/>
        </w:rPr>
      </w:pPr>
      <w:r>
        <w:rPr>
          <w:rFonts w:ascii="宋体" w:hAnsi="宋体" w:eastAsia="宋体" w:cs="Times New Roman"/>
          <w:color w:val="000000"/>
          <w:kern w:val="2"/>
          <w:sz w:val="24"/>
          <w:szCs w:val="24"/>
          <w:highlight w:val="none"/>
          <w:lang w:val="en-US" w:eastAsia="zh-CN" w:bidi="ar-SA"/>
        </w:rPr>
        <w:t>为顺利履行本协议，甲方</w:t>
      </w:r>
      <w:r>
        <w:rPr>
          <w:rFonts w:hint="eastAsia" w:ascii="宋体" w:hAnsi="宋体" w:eastAsia="宋体" w:cs="Times New Roman"/>
          <w:color w:val="000000"/>
          <w:kern w:val="2"/>
          <w:sz w:val="24"/>
          <w:szCs w:val="24"/>
          <w:highlight w:val="none"/>
          <w:lang w:val="en-US" w:eastAsia="zh-CN" w:bidi="ar-SA"/>
        </w:rPr>
        <w:t>承诺根据乙方工作需要</w:t>
      </w:r>
      <w:r>
        <w:rPr>
          <w:rFonts w:ascii="宋体" w:hAnsi="宋体" w:eastAsia="宋体" w:cs="Times New Roman"/>
          <w:color w:val="000000"/>
          <w:kern w:val="2"/>
          <w:sz w:val="24"/>
          <w:szCs w:val="24"/>
          <w:highlight w:val="none"/>
          <w:lang w:val="en-US" w:eastAsia="zh-CN" w:bidi="ar-SA"/>
        </w:rPr>
        <w:t>提供专业和行政人员的支持</w:t>
      </w:r>
      <w:r>
        <w:rPr>
          <w:rFonts w:hint="eastAsia" w:ascii="宋体" w:hAnsi="宋体" w:eastAsia="宋体" w:cs="Times New Roman"/>
          <w:color w:val="000000"/>
          <w:kern w:val="2"/>
          <w:sz w:val="24"/>
          <w:szCs w:val="24"/>
          <w:highlight w:val="none"/>
          <w:lang w:val="en-US" w:eastAsia="zh-CN" w:bidi="ar-SA"/>
        </w:rPr>
        <w:t>，安排专人（姓名：</w:t>
      </w:r>
      <w:r>
        <w:rPr>
          <w:rFonts w:hint="eastAsia" w:ascii="宋体" w:hAnsi="宋体" w:eastAsia="宋体" w:cs="Times New Roman"/>
          <w:color w:val="000000"/>
          <w:kern w:val="2"/>
          <w:sz w:val="24"/>
          <w:szCs w:val="24"/>
          <w:highlight w:val="none"/>
          <w:u w:val="single"/>
          <w:lang w:val="en-US" w:eastAsia="zh-CN" w:bidi="ar-SA"/>
        </w:rPr>
        <w:t xml:space="preserve">     </w:t>
      </w:r>
      <w:r>
        <w:rPr>
          <w:rFonts w:hint="eastAsia" w:ascii="宋体" w:hAnsi="宋体" w:eastAsia="宋体" w:cs="Times New Roman"/>
          <w:color w:val="000000"/>
          <w:kern w:val="2"/>
          <w:sz w:val="24"/>
          <w:szCs w:val="24"/>
          <w:highlight w:val="none"/>
          <w:lang w:val="en-US" w:eastAsia="zh-CN" w:bidi="ar-SA"/>
        </w:rPr>
        <w:t>联系方式：</w:t>
      </w:r>
      <w:r>
        <w:rPr>
          <w:rFonts w:hint="eastAsia" w:ascii="宋体" w:hAnsi="宋体" w:eastAsia="宋体" w:cs="Times New Roman"/>
          <w:color w:val="000000"/>
          <w:kern w:val="2"/>
          <w:sz w:val="24"/>
          <w:szCs w:val="24"/>
          <w:highlight w:val="none"/>
          <w:u w:val="single"/>
          <w:lang w:val="en-US" w:eastAsia="zh-CN" w:bidi="ar-SA"/>
        </w:rPr>
        <w:t xml:space="preserve">                </w:t>
      </w:r>
      <w:r>
        <w:rPr>
          <w:rFonts w:hint="eastAsia" w:ascii="宋体" w:hAnsi="宋体" w:eastAsia="宋体" w:cs="Times New Roman"/>
          <w:color w:val="000000"/>
          <w:kern w:val="2"/>
          <w:sz w:val="24"/>
          <w:szCs w:val="24"/>
          <w:highlight w:val="none"/>
          <w:lang w:val="en-US" w:eastAsia="zh-CN" w:bidi="ar-SA"/>
        </w:rPr>
        <w:t>）协助乙方工作推进和沟通工作的支持。</w:t>
      </w:r>
    </w:p>
    <w:p w14:paraId="51A1C3D8">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000000"/>
          <w:kern w:val="2"/>
          <w:sz w:val="24"/>
          <w:szCs w:val="24"/>
          <w:highlight w:val="none"/>
          <w:lang w:val="en-US" w:eastAsia="zh-CN" w:bidi="ar-SA"/>
        </w:rPr>
      </w:pPr>
      <w:r>
        <w:rPr>
          <w:rFonts w:ascii="宋体" w:hAnsi="宋体" w:eastAsia="宋体" w:cs="Times New Roman"/>
          <w:color w:val="000000"/>
          <w:kern w:val="2"/>
          <w:sz w:val="24"/>
          <w:szCs w:val="24"/>
          <w:highlight w:val="none"/>
          <w:lang w:val="en-US" w:eastAsia="zh-CN" w:bidi="ar-SA"/>
        </w:rPr>
        <w:t>1.3</w:t>
      </w:r>
      <w:r>
        <w:rPr>
          <w:rFonts w:ascii="宋体" w:hAnsi="宋体" w:eastAsia="宋体" w:cs="Times New Roman"/>
          <w:color w:val="000000"/>
          <w:kern w:val="2"/>
          <w:sz w:val="24"/>
          <w:szCs w:val="24"/>
          <w:highlight w:val="none"/>
          <w:u w:val="single"/>
          <w:lang w:val="en-US" w:eastAsia="zh-CN" w:bidi="ar-SA"/>
        </w:rPr>
        <w:t>甲方提供的信息</w:t>
      </w:r>
    </w:p>
    <w:p w14:paraId="00FE623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乙方</w:t>
      </w:r>
      <w:r>
        <w:rPr>
          <w:rFonts w:ascii="宋体" w:hAnsi="宋体" w:eastAsia="宋体" w:cs="Times New Roman"/>
          <w:color w:val="000000"/>
          <w:kern w:val="2"/>
          <w:sz w:val="24"/>
          <w:szCs w:val="24"/>
          <w:highlight w:val="none"/>
          <w:lang w:val="en-US" w:eastAsia="zh-CN" w:bidi="ar-SA"/>
        </w:rPr>
        <w:t>以甲方提供的信息为基础，实施本协议下的管理服务项目，甲方声明其向</w:t>
      </w:r>
      <w:r>
        <w:rPr>
          <w:rFonts w:hint="eastAsia" w:ascii="宋体" w:hAnsi="宋体" w:eastAsia="宋体" w:cs="Times New Roman"/>
          <w:color w:val="000000"/>
          <w:kern w:val="2"/>
          <w:sz w:val="24"/>
          <w:szCs w:val="24"/>
          <w:highlight w:val="none"/>
          <w:lang w:val="en-US" w:eastAsia="zh-CN" w:bidi="ar-SA"/>
        </w:rPr>
        <w:t>乙方</w:t>
      </w:r>
      <w:r>
        <w:rPr>
          <w:rFonts w:ascii="宋体" w:hAnsi="宋体" w:eastAsia="宋体" w:cs="Times New Roman"/>
          <w:color w:val="000000"/>
          <w:kern w:val="2"/>
          <w:sz w:val="24"/>
          <w:szCs w:val="24"/>
          <w:highlight w:val="none"/>
          <w:lang w:val="en-US" w:eastAsia="zh-CN" w:bidi="ar-SA"/>
        </w:rPr>
        <w:t>提供的有关管理服务的信息是完整和准确的。</w:t>
      </w:r>
    </w:p>
    <w:p w14:paraId="641261DD">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000000"/>
          <w:kern w:val="2"/>
          <w:sz w:val="24"/>
          <w:szCs w:val="20"/>
          <w:highlight w:val="none"/>
          <w:lang w:val="en-US" w:eastAsia="zh-CN" w:bidi="ar-SA"/>
        </w:rPr>
      </w:pPr>
      <w:r>
        <w:rPr>
          <w:rFonts w:ascii="宋体" w:hAnsi="宋体" w:eastAsia="宋体" w:cs="Times New Roman"/>
          <w:color w:val="000000"/>
          <w:kern w:val="2"/>
          <w:sz w:val="24"/>
          <w:szCs w:val="20"/>
          <w:highlight w:val="none"/>
          <w:lang w:val="en-US" w:eastAsia="zh-CN" w:bidi="ar-SA"/>
        </w:rPr>
        <w:t>2．</w:t>
      </w:r>
      <w:r>
        <w:rPr>
          <w:rFonts w:ascii="宋体" w:hAnsi="宋体" w:eastAsia="宋体" w:cs="Times New Roman"/>
          <w:b/>
          <w:color w:val="000000"/>
          <w:kern w:val="2"/>
          <w:sz w:val="24"/>
          <w:szCs w:val="20"/>
          <w:highlight w:val="none"/>
          <w:lang w:val="en-US" w:eastAsia="zh-CN" w:bidi="ar-SA"/>
        </w:rPr>
        <w:t>服务</w:t>
      </w:r>
    </w:p>
    <w:p w14:paraId="20B7B22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000000"/>
          <w:kern w:val="2"/>
          <w:sz w:val="24"/>
          <w:szCs w:val="20"/>
          <w:highlight w:val="none"/>
          <w:u w:val="single"/>
          <w:lang w:val="en-US" w:eastAsia="zh-CN" w:bidi="ar-SA"/>
        </w:rPr>
      </w:pPr>
      <w:r>
        <w:rPr>
          <w:rFonts w:ascii="宋体" w:hAnsi="宋体" w:eastAsia="宋体" w:cs="Times New Roman"/>
          <w:color w:val="000000"/>
          <w:kern w:val="2"/>
          <w:sz w:val="24"/>
          <w:szCs w:val="20"/>
          <w:highlight w:val="none"/>
          <w:lang w:val="en-US" w:eastAsia="zh-CN" w:bidi="ar-SA"/>
        </w:rPr>
        <w:t xml:space="preserve">2.1  </w:t>
      </w:r>
      <w:r>
        <w:rPr>
          <w:rFonts w:ascii="宋体" w:hAnsi="宋体" w:eastAsia="宋体" w:cs="Times New Roman"/>
          <w:color w:val="000000"/>
          <w:kern w:val="2"/>
          <w:sz w:val="24"/>
          <w:szCs w:val="20"/>
          <w:highlight w:val="none"/>
          <w:u w:val="single"/>
          <w:lang w:val="en-US" w:eastAsia="zh-CN" w:bidi="ar-SA"/>
        </w:rPr>
        <w:t>管理及服务</w:t>
      </w:r>
    </w:p>
    <w:p w14:paraId="0F94EF7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000000"/>
          <w:kern w:val="2"/>
          <w:sz w:val="24"/>
          <w:szCs w:val="20"/>
          <w:highlight w:val="none"/>
          <w:lang w:val="en-US" w:eastAsia="zh-CN" w:bidi="ar-SA"/>
        </w:rPr>
      </w:pPr>
      <w:r>
        <w:rPr>
          <w:rFonts w:hint="eastAsia" w:ascii="宋体" w:hAnsi="宋体" w:eastAsia="宋体" w:cs="Times New Roman"/>
          <w:color w:val="000000"/>
          <w:kern w:val="2"/>
          <w:sz w:val="24"/>
          <w:szCs w:val="20"/>
          <w:highlight w:val="none"/>
          <w:lang w:val="en-US" w:eastAsia="zh-CN" w:bidi="ar-SA"/>
        </w:rPr>
        <w:t>乙方</w:t>
      </w:r>
      <w:r>
        <w:rPr>
          <w:rFonts w:ascii="宋体" w:hAnsi="宋体" w:eastAsia="宋体" w:cs="Times New Roman"/>
          <w:color w:val="000000"/>
          <w:kern w:val="2"/>
          <w:sz w:val="24"/>
          <w:szCs w:val="20"/>
          <w:highlight w:val="none"/>
          <w:lang w:val="en-US" w:eastAsia="zh-CN" w:bidi="ar-SA"/>
        </w:rPr>
        <w:t>应为甲方提供附件A列出的所有项目的管理及服务。</w:t>
      </w:r>
      <w:r>
        <w:rPr>
          <w:rFonts w:hint="eastAsia" w:ascii="宋体" w:hAnsi="宋体" w:eastAsia="宋体" w:cs="Times New Roman"/>
          <w:color w:val="000000"/>
          <w:kern w:val="2"/>
          <w:sz w:val="24"/>
          <w:szCs w:val="20"/>
          <w:highlight w:val="none"/>
          <w:lang w:val="en-US" w:eastAsia="zh-CN" w:bidi="ar-SA"/>
        </w:rPr>
        <w:t>详见本协议附件A</w:t>
      </w:r>
    </w:p>
    <w:p w14:paraId="212A46B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000000"/>
          <w:kern w:val="2"/>
          <w:sz w:val="24"/>
          <w:szCs w:val="20"/>
          <w:highlight w:val="none"/>
          <w:u w:val="single"/>
          <w:lang w:val="en-US" w:eastAsia="zh-CN" w:bidi="ar-SA"/>
        </w:rPr>
      </w:pPr>
      <w:r>
        <w:rPr>
          <w:rFonts w:ascii="宋体" w:hAnsi="宋体" w:eastAsia="宋体" w:cs="Times New Roman"/>
          <w:color w:val="000000"/>
          <w:kern w:val="2"/>
          <w:sz w:val="24"/>
          <w:szCs w:val="20"/>
          <w:highlight w:val="none"/>
          <w:lang w:val="en-US" w:eastAsia="zh-CN" w:bidi="ar-SA"/>
        </w:rPr>
        <w:t xml:space="preserve">2.2  </w:t>
      </w:r>
      <w:r>
        <w:rPr>
          <w:rFonts w:ascii="宋体" w:hAnsi="宋体" w:eastAsia="宋体" w:cs="Times New Roman"/>
          <w:color w:val="000000"/>
          <w:kern w:val="2"/>
          <w:sz w:val="24"/>
          <w:szCs w:val="20"/>
          <w:highlight w:val="none"/>
          <w:u w:val="single"/>
          <w:lang w:val="en-US" w:eastAsia="zh-CN" w:bidi="ar-SA"/>
        </w:rPr>
        <w:t>员工培训</w:t>
      </w:r>
    </w:p>
    <w:p w14:paraId="13B087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000000"/>
          <w:kern w:val="2"/>
          <w:sz w:val="24"/>
          <w:szCs w:val="20"/>
          <w:highlight w:val="none"/>
          <w:lang w:val="en-US" w:eastAsia="zh-CN" w:bidi="ar-SA"/>
        </w:rPr>
      </w:pPr>
      <w:r>
        <w:rPr>
          <w:rFonts w:hint="eastAsia" w:ascii="宋体" w:hAnsi="宋体" w:eastAsia="宋体" w:cs="Times New Roman"/>
          <w:color w:val="000000"/>
          <w:kern w:val="2"/>
          <w:sz w:val="24"/>
          <w:szCs w:val="20"/>
          <w:highlight w:val="none"/>
          <w:lang w:val="en-US" w:eastAsia="zh-CN" w:bidi="ar-SA"/>
        </w:rPr>
        <w:t>乙方</w:t>
      </w:r>
      <w:r>
        <w:rPr>
          <w:rFonts w:ascii="宋体" w:hAnsi="宋体" w:eastAsia="宋体" w:cs="Times New Roman"/>
          <w:color w:val="000000"/>
          <w:kern w:val="2"/>
          <w:sz w:val="24"/>
          <w:szCs w:val="20"/>
          <w:highlight w:val="none"/>
          <w:lang w:val="en-US" w:eastAsia="zh-CN" w:bidi="ar-SA"/>
        </w:rPr>
        <w:t>须培训、管理和指导其员工以保证能满足附件A所列出服务项目的要求。</w:t>
      </w:r>
    </w:p>
    <w:p w14:paraId="7E04820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000000"/>
          <w:kern w:val="2"/>
          <w:sz w:val="24"/>
          <w:szCs w:val="20"/>
          <w:highlight w:val="none"/>
          <w:lang w:val="en-US" w:eastAsia="zh-CN" w:bidi="ar-SA"/>
        </w:rPr>
      </w:pPr>
      <w:r>
        <w:rPr>
          <w:rFonts w:ascii="宋体" w:hAnsi="宋体" w:eastAsia="宋体" w:cs="Times New Roman"/>
          <w:color w:val="000000"/>
          <w:kern w:val="2"/>
          <w:sz w:val="24"/>
          <w:szCs w:val="20"/>
          <w:highlight w:val="none"/>
          <w:lang w:val="en-US" w:eastAsia="zh-CN" w:bidi="ar-SA"/>
        </w:rPr>
        <w:t xml:space="preserve">2.3  </w:t>
      </w:r>
      <w:r>
        <w:rPr>
          <w:rFonts w:ascii="宋体" w:hAnsi="宋体" w:eastAsia="宋体" w:cs="Times New Roman"/>
          <w:color w:val="000000"/>
          <w:kern w:val="2"/>
          <w:sz w:val="24"/>
          <w:szCs w:val="20"/>
          <w:highlight w:val="none"/>
          <w:u w:val="single"/>
          <w:lang w:val="en-US" w:eastAsia="zh-CN" w:bidi="ar-SA"/>
        </w:rPr>
        <w:t>由</w:t>
      </w:r>
      <w:r>
        <w:rPr>
          <w:rFonts w:hint="eastAsia" w:ascii="宋体" w:hAnsi="宋体" w:eastAsia="宋体" w:cs="Times New Roman"/>
          <w:color w:val="000000"/>
          <w:kern w:val="2"/>
          <w:sz w:val="24"/>
          <w:szCs w:val="20"/>
          <w:highlight w:val="none"/>
          <w:u w:val="single"/>
          <w:lang w:val="en-US" w:eastAsia="zh-CN" w:bidi="ar-SA"/>
        </w:rPr>
        <w:t>乙方</w:t>
      </w:r>
      <w:r>
        <w:rPr>
          <w:rFonts w:ascii="宋体" w:hAnsi="宋体" w:eastAsia="宋体" w:cs="Times New Roman"/>
          <w:color w:val="000000"/>
          <w:kern w:val="2"/>
          <w:sz w:val="24"/>
          <w:szCs w:val="20"/>
          <w:highlight w:val="none"/>
          <w:u w:val="single"/>
          <w:lang w:val="en-US" w:eastAsia="zh-CN" w:bidi="ar-SA"/>
        </w:rPr>
        <w:t>承担的费用</w:t>
      </w:r>
    </w:p>
    <w:p w14:paraId="444C8B9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000000"/>
          <w:kern w:val="2"/>
          <w:sz w:val="24"/>
          <w:szCs w:val="20"/>
          <w:highlight w:val="none"/>
          <w:lang w:val="en-US" w:eastAsia="zh-CN" w:bidi="ar-SA"/>
        </w:rPr>
      </w:pPr>
      <w:r>
        <w:rPr>
          <w:rFonts w:hint="eastAsia" w:ascii="宋体" w:hAnsi="宋体" w:eastAsia="宋体" w:cs="Times New Roman"/>
          <w:color w:val="000000"/>
          <w:kern w:val="2"/>
          <w:sz w:val="24"/>
          <w:szCs w:val="20"/>
          <w:highlight w:val="none"/>
          <w:lang w:val="en-US" w:eastAsia="zh-CN" w:bidi="ar-SA"/>
        </w:rPr>
        <w:t>乙方</w:t>
      </w:r>
      <w:r>
        <w:rPr>
          <w:rFonts w:ascii="宋体" w:hAnsi="宋体" w:eastAsia="宋体" w:cs="Times New Roman"/>
          <w:color w:val="000000"/>
          <w:kern w:val="2"/>
          <w:sz w:val="24"/>
          <w:szCs w:val="20"/>
          <w:highlight w:val="none"/>
          <w:lang w:val="en-US" w:eastAsia="zh-CN" w:bidi="ar-SA"/>
        </w:rPr>
        <w:t>自行承担提供本协议</w:t>
      </w:r>
      <w:r>
        <w:rPr>
          <w:rFonts w:hint="eastAsia" w:ascii="宋体" w:hAnsi="宋体" w:eastAsia="宋体" w:cs="Times New Roman"/>
          <w:color w:val="000000"/>
          <w:kern w:val="2"/>
          <w:sz w:val="24"/>
          <w:szCs w:val="20"/>
          <w:highlight w:val="none"/>
          <w:lang w:val="en-US" w:eastAsia="zh-CN" w:bidi="ar-SA"/>
        </w:rPr>
        <w:t>约定</w:t>
      </w:r>
      <w:r>
        <w:rPr>
          <w:rFonts w:ascii="宋体" w:hAnsi="宋体" w:eastAsia="宋体" w:cs="Times New Roman"/>
          <w:color w:val="000000"/>
          <w:kern w:val="2"/>
          <w:sz w:val="24"/>
          <w:szCs w:val="20"/>
          <w:highlight w:val="none"/>
          <w:lang w:val="en-US" w:eastAsia="zh-CN" w:bidi="ar-SA"/>
        </w:rPr>
        <w:t>的管理服务而产生的直接运营费用</w:t>
      </w:r>
      <w:r>
        <w:rPr>
          <w:rFonts w:hint="eastAsia" w:ascii="宋体" w:hAnsi="宋体" w:eastAsia="宋体" w:cs="Times New Roman"/>
          <w:color w:val="000000"/>
          <w:kern w:val="2"/>
          <w:sz w:val="24"/>
          <w:szCs w:val="20"/>
          <w:highlight w:val="none"/>
          <w:lang w:val="en-US" w:eastAsia="zh-CN" w:bidi="ar-SA"/>
        </w:rPr>
        <w:t>以及信息平台的运行费用</w:t>
      </w:r>
      <w:r>
        <w:rPr>
          <w:rFonts w:ascii="宋体" w:hAnsi="宋体" w:eastAsia="宋体" w:cs="Times New Roman"/>
          <w:color w:val="000000"/>
          <w:kern w:val="2"/>
          <w:sz w:val="24"/>
          <w:szCs w:val="20"/>
          <w:highlight w:val="none"/>
          <w:lang w:val="en-US" w:eastAsia="zh-CN" w:bidi="ar-SA"/>
        </w:rPr>
        <w:t>，包括但不限于：（i）</w:t>
      </w:r>
      <w:r>
        <w:rPr>
          <w:rFonts w:hint="eastAsia" w:ascii="宋体" w:hAnsi="宋体" w:eastAsia="宋体" w:cs="Times New Roman"/>
          <w:color w:val="000000"/>
          <w:kern w:val="2"/>
          <w:sz w:val="24"/>
          <w:szCs w:val="20"/>
          <w:highlight w:val="none"/>
          <w:lang w:val="en-US" w:eastAsia="zh-CN" w:bidi="ar-SA"/>
        </w:rPr>
        <w:t>乙方</w:t>
      </w:r>
      <w:r>
        <w:rPr>
          <w:rFonts w:ascii="宋体" w:hAnsi="宋体" w:eastAsia="宋体" w:cs="Times New Roman"/>
          <w:color w:val="000000"/>
          <w:kern w:val="2"/>
          <w:sz w:val="24"/>
          <w:szCs w:val="20"/>
          <w:highlight w:val="none"/>
          <w:lang w:val="en-US" w:eastAsia="zh-CN" w:bidi="ar-SA"/>
        </w:rPr>
        <w:t>员工所有费</w:t>
      </w:r>
      <w:r>
        <w:rPr>
          <w:rFonts w:ascii="宋体" w:hAnsi="宋体" w:eastAsia="宋体" w:cs="Times New Roman"/>
          <w:color w:val="auto"/>
          <w:kern w:val="2"/>
          <w:sz w:val="24"/>
          <w:szCs w:val="20"/>
          <w:highlight w:val="none"/>
          <w:lang w:val="en-US" w:eastAsia="zh-CN" w:bidi="ar-SA"/>
        </w:rPr>
        <w:t>用；</w:t>
      </w:r>
      <w:r>
        <w:rPr>
          <w:rFonts w:ascii="宋体" w:hAnsi="宋体" w:eastAsia="宋体" w:cs="Times New Roman"/>
          <w:color w:val="000000"/>
          <w:kern w:val="2"/>
          <w:sz w:val="24"/>
          <w:szCs w:val="20"/>
          <w:highlight w:val="none"/>
          <w:lang w:val="en-US" w:eastAsia="zh-CN" w:bidi="ar-SA"/>
        </w:rPr>
        <w:t>（ii）员工培训费用；（iii）国家或地方部门征收的所有税费及保险费</w:t>
      </w:r>
      <w:r>
        <w:rPr>
          <w:rFonts w:hint="eastAsia" w:ascii="宋体" w:hAnsi="宋体" w:eastAsia="宋体" w:cs="Times New Roman"/>
          <w:color w:val="000000"/>
          <w:kern w:val="2"/>
          <w:sz w:val="24"/>
          <w:szCs w:val="20"/>
          <w:highlight w:val="none"/>
          <w:lang w:val="en-US" w:eastAsia="zh-CN" w:bidi="ar-SA"/>
        </w:rPr>
        <w:t>；</w:t>
      </w:r>
      <w:r>
        <w:rPr>
          <w:rFonts w:ascii="宋体" w:hAnsi="宋体" w:eastAsia="宋体" w:cs="Times New Roman"/>
          <w:color w:val="000000"/>
          <w:kern w:val="2"/>
          <w:sz w:val="24"/>
          <w:szCs w:val="20"/>
          <w:highlight w:val="none"/>
          <w:lang w:val="en-US" w:eastAsia="zh-CN" w:bidi="ar-SA"/>
        </w:rPr>
        <w:t>（iiii）</w:t>
      </w:r>
      <w:r>
        <w:rPr>
          <w:rFonts w:hint="eastAsia" w:ascii="宋体" w:hAnsi="宋体" w:eastAsia="宋体" w:cs="Times New Roman"/>
          <w:color w:val="000000"/>
          <w:kern w:val="2"/>
          <w:sz w:val="24"/>
          <w:szCs w:val="20"/>
          <w:highlight w:val="none"/>
          <w:lang w:val="en-US" w:eastAsia="zh-CN" w:bidi="ar-SA"/>
        </w:rPr>
        <w:t>信息平台软硬件安装、调试及运行费用</w:t>
      </w:r>
    </w:p>
    <w:p w14:paraId="7180754E">
      <w:pPr>
        <w:keepNext w:val="0"/>
        <w:keepLines w:val="0"/>
        <w:pageBreakBefore w:val="0"/>
        <w:widowControl w:val="0"/>
        <w:tabs>
          <w:tab w:val="left" w:pos="360"/>
        </w:tabs>
        <w:kinsoku/>
        <w:wordWrap/>
        <w:overflowPunct/>
        <w:topLinePunct w:val="0"/>
        <w:autoSpaceDE/>
        <w:autoSpaceDN/>
        <w:bidi w:val="0"/>
        <w:adjustRightInd w:val="0"/>
        <w:snapToGrid w:val="0"/>
        <w:spacing w:line="360" w:lineRule="auto"/>
        <w:jc w:val="both"/>
        <w:textAlignment w:val="auto"/>
        <w:rPr>
          <w:rFonts w:ascii="宋体" w:hAnsi="宋体" w:eastAsia="宋体" w:cs="Times New Roman"/>
          <w:b/>
          <w:color w:val="000000"/>
          <w:kern w:val="2"/>
          <w:sz w:val="24"/>
          <w:szCs w:val="20"/>
          <w:highlight w:val="none"/>
          <w:lang w:val="en-US" w:eastAsia="zh-CN" w:bidi="ar-SA"/>
        </w:rPr>
      </w:pPr>
      <w:r>
        <w:rPr>
          <w:rFonts w:ascii="宋体" w:hAnsi="宋体" w:eastAsia="宋体" w:cs="Times New Roman"/>
          <w:b/>
          <w:color w:val="000000"/>
          <w:kern w:val="2"/>
          <w:sz w:val="24"/>
          <w:szCs w:val="20"/>
          <w:highlight w:val="none"/>
          <w:lang w:val="en-US" w:eastAsia="zh-CN" w:bidi="ar-SA"/>
        </w:rPr>
        <w:t>3.员工</w:t>
      </w:r>
    </w:p>
    <w:p w14:paraId="2918CC8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auto"/>
          <w:kern w:val="2"/>
          <w:sz w:val="24"/>
          <w:szCs w:val="20"/>
          <w:highlight w:val="none"/>
          <w:lang w:val="en-US" w:eastAsia="zh-CN" w:bidi="ar-SA"/>
        </w:rPr>
      </w:pPr>
      <w:r>
        <w:rPr>
          <w:rFonts w:ascii="宋体" w:hAnsi="宋体" w:eastAsia="宋体" w:cs="Times New Roman"/>
          <w:color w:val="auto"/>
          <w:kern w:val="2"/>
          <w:sz w:val="24"/>
          <w:szCs w:val="20"/>
          <w:highlight w:val="none"/>
          <w:lang w:val="en-US" w:eastAsia="zh-CN" w:bidi="ar-SA"/>
        </w:rPr>
        <w:t xml:space="preserve">3.1 </w:t>
      </w:r>
      <w:r>
        <w:rPr>
          <w:rFonts w:hint="eastAsia" w:ascii="宋体" w:hAnsi="宋体" w:eastAsia="宋体" w:cs="Times New Roman"/>
          <w:color w:val="auto"/>
          <w:kern w:val="2"/>
          <w:sz w:val="24"/>
          <w:szCs w:val="20"/>
          <w:highlight w:val="none"/>
          <w:lang w:val="en-US" w:eastAsia="zh-CN" w:bidi="ar-SA"/>
        </w:rPr>
        <w:t>乙方</w:t>
      </w:r>
      <w:r>
        <w:rPr>
          <w:rFonts w:ascii="宋体" w:hAnsi="宋体" w:eastAsia="宋体" w:cs="Times New Roman"/>
          <w:color w:val="auto"/>
          <w:kern w:val="2"/>
          <w:sz w:val="24"/>
          <w:szCs w:val="20"/>
          <w:highlight w:val="none"/>
          <w:lang w:val="en-US" w:eastAsia="zh-CN" w:bidi="ar-SA"/>
        </w:rPr>
        <w:t>同意按照附件A、B的要求向甲方派驻管理人员和服务人员，其中项目经理一人作为</w:t>
      </w:r>
      <w:r>
        <w:rPr>
          <w:rFonts w:hint="eastAsia" w:ascii="宋体" w:hAnsi="宋体" w:eastAsia="宋体" w:cs="Times New Roman"/>
          <w:color w:val="auto"/>
          <w:kern w:val="2"/>
          <w:sz w:val="24"/>
          <w:szCs w:val="20"/>
          <w:highlight w:val="none"/>
          <w:lang w:val="en-US" w:eastAsia="zh-CN" w:bidi="ar-SA"/>
        </w:rPr>
        <w:t>乙方</w:t>
      </w:r>
      <w:r>
        <w:rPr>
          <w:rFonts w:ascii="宋体" w:hAnsi="宋体" w:eastAsia="宋体" w:cs="Times New Roman"/>
          <w:color w:val="auto"/>
          <w:kern w:val="2"/>
          <w:sz w:val="24"/>
          <w:szCs w:val="20"/>
          <w:highlight w:val="none"/>
          <w:lang w:val="en-US" w:eastAsia="zh-CN" w:bidi="ar-SA"/>
        </w:rPr>
        <w:t>的主要代表执行本协议中</w:t>
      </w:r>
      <w:r>
        <w:rPr>
          <w:rFonts w:hint="eastAsia" w:ascii="宋体" w:hAnsi="宋体" w:eastAsia="宋体" w:cs="Times New Roman"/>
          <w:color w:val="auto"/>
          <w:kern w:val="2"/>
          <w:sz w:val="24"/>
          <w:szCs w:val="20"/>
          <w:highlight w:val="none"/>
          <w:lang w:val="en-US" w:eastAsia="zh-CN" w:bidi="ar-SA"/>
        </w:rPr>
        <w:t>乙方</w:t>
      </w:r>
      <w:r>
        <w:rPr>
          <w:rFonts w:ascii="宋体" w:hAnsi="宋体" w:eastAsia="宋体" w:cs="Times New Roman"/>
          <w:color w:val="auto"/>
          <w:kern w:val="2"/>
          <w:sz w:val="24"/>
          <w:szCs w:val="20"/>
          <w:highlight w:val="none"/>
          <w:lang w:val="en-US" w:eastAsia="zh-CN" w:bidi="ar-SA"/>
        </w:rPr>
        <w:t>的权利和义务</w:t>
      </w:r>
      <w:r>
        <w:rPr>
          <w:rFonts w:hint="eastAsia" w:ascii="宋体" w:hAnsi="宋体" w:eastAsia="宋体" w:cs="Times New Roman"/>
          <w:color w:val="auto"/>
          <w:kern w:val="2"/>
          <w:sz w:val="24"/>
          <w:szCs w:val="20"/>
          <w:highlight w:val="none"/>
          <w:lang w:val="en-US" w:eastAsia="zh-CN" w:bidi="ar-SA"/>
        </w:rPr>
        <w:t>，</w:t>
      </w:r>
      <w:r>
        <w:rPr>
          <w:rFonts w:ascii="宋体" w:hAnsi="宋体" w:eastAsia="宋体" w:cs="Times New Roman"/>
          <w:color w:val="auto"/>
          <w:kern w:val="2"/>
          <w:sz w:val="24"/>
          <w:szCs w:val="20"/>
          <w:highlight w:val="none"/>
          <w:lang w:val="en-US" w:eastAsia="zh-CN" w:bidi="ar-SA"/>
        </w:rPr>
        <w:t>负责日常沟通、问题协调及服务质量管控，项目经理的姓名、联系方式应在协议签订后 5 个工作日内提交甲方备案；若</w:t>
      </w:r>
      <w:r>
        <w:rPr>
          <w:rFonts w:hint="eastAsia" w:ascii="宋体" w:hAnsi="宋体" w:eastAsia="宋体" w:cs="Times New Roman"/>
          <w:color w:val="auto"/>
          <w:kern w:val="2"/>
          <w:sz w:val="24"/>
          <w:szCs w:val="20"/>
          <w:highlight w:val="none"/>
          <w:lang w:val="en-US" w:eastAsia="zh-CN" w:bidi="ar-SA"/>
        </w:rPr>
        <w:t>乙方</w:t>
      </w:r>
      <w:r>
        <w:rPr>
          <w:rFonts w:ascii="宋体" w:hAnsi="宋体" w:eastAsia="宋体" w:cs="Times New Roman"/>
          <w:color w:val="auto"/>
          <w:kern w:val="2"/>
          <w:sz w:val="24"/>
          <w:szCs w:val="20"/>
          <w:highlight w:val="none"/>
          <w:lang w:val="en-US" w:eastAsia="zh-CN" w:bidi="ar-SA"/>
        </w:rPr>
        <w:t>更换项目经理，须提前</w:t>
      </w:r>
      <w:r>
        <w:rPr>
          <w:rFonts w:hint="eastAsia" w:ascii="宋体" w:hAnsi="宋体" w:eastAsia="宋体" w:cs="Times New Roman"/>
          <w:color w:val="auto"/>
          <w:kern w:val="2"/>
          <w:sz w:val="24"/>
          <w:szCs w:val="20"/>
          <w:highlight w:val="none"/>
          <w:u w:val="single"/>
          <w:lang w:val="en-US" w:eastAsia="zh-CN" w:bidi="ar-SA"/>
        </w:rPr>
        <w:t>5</w:t>
      </w:r>
      <w:r>
        <w:rPr>
          <w:rFonts w:ascii="宋体" w:hAnsi="宋体" w:eastAsia="宋体" w:cs="Times New Roman"/>
          <w:color w:val="auto"/>
          <w:kern w:val="2"/>
          <w:sz w:val="24"/>
          <w:szCs w:val="20"/>
          <w:highlight w:val="none"/>
          <w:lang w:val="en-US" w:eastAsia="zh-CN" w:bidi="ar-SA"/>
        </w:rPr>
        <w:t>个工作日书面通知甲方，经甲方书面确认后方可更换。</w:t>
      </w:r>
    </w:p>
    <w:p w14:paraId="2823E6BF">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color w:val="auto"/>
          <w:kern w:val="2"/>
          <w:sz w:val="24"/>
          <w:szCs w:val="20"/>
          <w:highlight w:val="none"/>
          <w:lang w:val="en-US" w:eastAsia="zh-CN" w:bidi="ar-SA"/>
        </w:rPr>
      </w:pPr>
      <w:r>
        <w:rPr>
          <w:rFonts w:ascii="宋体" w:hAnsi="宋体" w:eastAsia="宋体" w:cs="Times New Roman"/>
          <w:color w:val="auto"/>
          <w:kern w:val="2"/>
          <w:sz w:val="24"/>
          <w:szCs w:val="20"/>
          <w:highlight w:val="none"/>
          <w:lang w:val="en-US" w:eastAsia="zh-CN" w:bidi="ar-SA"/>
        </w:rPr>
        <w:t xml:space="preserve">3.2 </w:t>
      </w:r>
      <w:r>
        <w:rPr>
          <w:rFonts w:hint="eastAsia" w:ascii="宋体" w:hAnsi="宋体" w:eastAsia="宋体" w:cs="Times New Roman"/>
          <w:color w:val="auto"/>
          <w:kern w:val="2"/>
          <w:sz w:val="24"/>
          <w:szCs w:val="20"/>
          <w:highlight w:val="none"/>
          <w:lang w:val="en-US" w:eastAsia="zh-CN" w:bidi="ar-SA"/>
        </w:rPr>
        <w:t>乙方</w:t>
      </w:r>
      <w:r>
        <w:rPr>
          <w:rFonts w:ascii="宋体" w:hAnsi="宋体" w:eastAsia="宋体" w:cs="Times New Roman"/>
          <w:color w:val="auto"/>
          <w:kern w:val="2"/>
          <w:sz w:val="24"/>
          <w:szCs w:val="20"/>
          <w:highlight w:val="none"/>
          <w:lang w:val="en-US" w:eastAsia="zh-CN" w:bidi="ar-SA"/>
        </w:rPr>
        <w:t>承担所有员工的工资和</w:t>
      </w:r>
      <w:r>
        <w:rPr>
          <w:rFonts w:hint="eastAsia" w:ascii="宋体" w:hAnsi="宋体" w:eastAsia="宋体" w:cs="Times New Roman"/>
          <w:color w:val="auto"/>
          <w:kern w:val="2"/>
          <w:sz w:val="24"/>
          <w:szCs w:val="20"/>
          <w:highlight w:val="none"/>
          <w:lang w:val="en-US" w:eastAsia="zh-CN" w:bidi="ar-SA"/>
        </w:rPr>
        <w:t>其他</w:t>
      </w:r>
      <w:r>
        <w:rPr>
          <w:rFonts w:ascii="宋体" w:hAnsi="宋体" w:eastAsia="宋体" w:cs="Times New Roman"/>
          <w:color w:val="auto"/>
          <w:kern w:val="2"/>
          <w:sz w:val="24"/>
          <w:szCs w:val="20"/>
          <w:highlight w:val="none"/>
          <w:lang w:val="en-US" w:eastAsia="zh-CN" w:bidi="ar-SA"/>
        </w:rPr>
        <w:t>与其工作有关的、国家或地方法规所要求征收的税费、</w:t>
      </w:r>
      <w:r>
        <w:rPr>
          <w:rFonts w:hint="eastAsia" w:ascii="宋体" w:hAnsi="宋体" w:eastAsia="宋体" w:cs="Times New Roman"/>
          <w:color w:val="auto"/>
          <w:kern w:val="2"/>
          <w:sz w:val="24"/>
          <w:szCs w:val="20"/>
          <w:highlight w:val="none"/>
          <w:lang w:val="en-US" w:eastAsia="zh-CN" w:bidi="ar-SA"/>
        </w:rPr>
        <w:t>社会养老</w:t>
      </w:r>
      <w:r>
        <w:rPr>
          <w:rFonts w:ascii="宋体" w:hAnsi="宋体" w:eastAsia="宋体" w:cs="Times New Roman"/>
          <w:color w:val="auto"/>
          <w:kern w:val="2"/>
          <w:sz w:val="24"/>
          <w:szCs w:val="20"/>
          <w:highlight w:val="none"/>
          <w:lang w:val="en-US" w:eastAsia="zh-CN" w:bidi="ar-SA"/>
        </w:rPr>
        <w:t>保险等相关费用。</w:t>
      </w:r>
    </w:p>
    <w:p w14:paraId="6097370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b/>
          <w:bCs/>
          <w:color w:val="auto"/>
          <w:kern w:val="0"/>
          <w:sz w:val="24"/>
          <w:highlight w:val="none"/>
          <w:lang w:val="en-US" w:eastAsia="zh-CN"/>
        </w:rPr>
      </w:pPr>
      <w:r>
        <w:rPr>
          <w:rFonts w:ascii="宋体" w:hAnsi="宋体" w:eastAsia="宋体"/>
          <w:color w:val="auto"/>
          <w:sz w:val="24"/>
          <w:szCs w:val="20"/>
          <w:highlight w:val="none"/>
        </w:rPr>
        <w:t xml:space="preserve">3.3 </w:t>
      </w:r>
      <w:r>
        <w:rPr>
          <w:rFonts w:ascii="宋体" w:hAnsi="宋体" w:eastAsia="宋体"/>
          <w:color w:val="auto"/>
          <w:kern w:val="0"/>
          <w:sz w:val="24"/>
          <w:highlight w:val="none"/>
        </w:rPr>
        <w:t>合同人数：如合同期内因甲方要求增加服务范围需</w:t>
      </w:r>
      <w:r>
        <w:rPr>
          <w:rFonts w:hint="eastAsia" w:ascii="宋体" w:hAnsi="宋体"/>
          <w:color w:val="auto"/>
          <w:kern w:val="0"/>
          <w:sz w:val="24"/>
          <w:highlight w:val="none"/>
          <w:lang w:eastAsia="zh-CN"/>
        </w:rPr>
        <w:t>乙方</w:t>
      </w:r>
      <w:r>
        <w:rPr>
          <w:rFonts w:ascii="宋体" w:hAnsi="宋体" w:eastAsia="宋体"/>
          <w:color w:val="auto"/>
          <w:kern w:val="0"/>
          <w:sz w:val="24"/>
          <w:highlight w:val="none"/>
        </w:rPr>
        <w:t>增加服务人员的，由甲方用人科室</w:t>
      </w:r>
      <w:r>
        <w:rPr>
          <w:rFonts w:hint="eastAsia" w:ascii="宋体" w:hAnsi="宋体" w:eastAsia="宋体"/>
          <w:color w:val="auto"/>
          <w:kern w:val="0"/>
          <w:sz w:val="24"/>
          <w:highlight w:val="none"/>
        </w:rPr>
        <w:t>向</w:t>
      </w:r>
      <w:r>
        <w:rPr>
          <w:rFonts w:hint="eastAsia" w:ascii="宋体" w:hAnsi="宋体"/>
          <w:color w:val="auto"/>
          <w:kern w:val="0"/>
          <w:sz w:val="24"/>
          <w:highlight w:val="none"/>
          <w:lang w:val="en-US" w:eastAsia="zh-CN"/>
        </w:rPr>
        <w:t>乙方</w:t>
      </w:r>
      <w:r>
        <w:rPr>
          <w:rFonts w:ascii="宋体" w:hAnsi="宋体" w:eastAsia="宋体"/>
          <w:color w:val="auto"/>
          <w:kern w:val="0"/>
          <w:sz w:val="24"/>
          <w:highlight w:val="none"/>
        </w:rPr>
        <w:t>提交用人申请，</w:t>
      </w:r>
      <w:r>
        <w:rPr>
          <w:rFonts w:hint="eastAsia" w:ascii="宋体" w:hAnsi="宋体" w:eastAsia="宋体"/>
          <w:color w:val="auto"/>
          <w:kern w:val="0"/>
          <w:sz w:val="24"/>
          <w:highlight w:val="none"/>
        </w:rPr>
        <w:t>经甲方</w:t>
      </w:r>
      <w:r>
        <w:rPr>
          <w:rFonts w:ascii="宋体" w:hAnsi="宋体" w:eastAsia="宋体"/>
          <w:color w:val="auto"/>
          <w:kern w:val="0"/>
          <w:sz w:val="24"/>
          <w:highlight w:val="none"/>
        </w:rPr>
        <w:t>审批通过</w:t>
      </w:r>
      <w:r>
        <w:rPr>
          <w:rFonts w:hint="eastAsia" w:ascii="宋体" w:hAnsi="宋体" w:eastAsia="宋体"/>
          <w:color w:val="auto"/>
          <w:kern w:val="0"/>
          <w:sz w:val="24"/>
          <w:highlight w:val="none"/>
        </w:rPr>
        <w:t>并书面通知</w:t>
      </w:r>
      <w:r>
        <w:rPr>
          <w:rFonts w:hint="eastAsia" w:ascii="宋体" w:hAnsi="宋体"/>
          <w:color w:val="auto"/>
          <w:kern w:val="0"/>
          <w:sz w:val="24"/>
          <w:highlight w:val="none"/>
          <w:lang w:eastAsia="zh-CN"/>
        </w:rPr>
        <w:t>乙方</w:t>
      </w:r>
      <w:r>
        <w:rPr>
          <w:rFonts w:ascii="宋体" w:hAnsi="宋体" w:eastAsia="宋体"/>
          <w:color w:val="auto"/>
          <w:kern w:val="0"/>
          <w:sz w:val="24"/>
          <w:highlight w:val="none"/>
        </w:rPr>
        <w:t>后，由</w:t>
      </w:r>
      <w:r>
        <w:rPr>
          <w:rFonts w:hint="eastAsia" w:ascii="宋体" w:hAnsi="宋体"/>
          <w:color w:val="auto"/>
          <w:kern w:val="0"/>
          <w:sz w:val="24"/>
          <w:highlight w:val="none"/>
          <w:lang w:eastAsia="zh-CN"/>
        </w:rPr>
        <w:t>乙方</w:t>
      </w:r>
      <w:r>
        <w:rPr>
          <w:rFonts w:hint="eastAsia" w:ascii="宋体" w:hAnsi="宋体"/>
          <w:color w:val="auto"/>
          <w:kern w:val="0"/>
          <w:sz w:val="24"/>
          <w:highlight w:val="none"/>
          <w:lang w:val="en-US" w:eastAsia="zh-CN"/>
        </w:rPr>
        <w:t>在</w:t>
      </w:r>
      <w:r>
        <w:rPr>
          <w:rFonts w:hint="eastAsia" w:ascii="宋体" w:hAnsi="宋体"/>
          <w:color w:val="auto"/>
          <w:kern w:val="0"/>
          <w:sz w:val="24"/>
          <w:highlight w:val="none"/>
          <w:u w:val="single"/>
          <w:lang w:val="en-US" w:eastAsia="zh-CN"/>
        </w:rPr>
        <w:t xml:space="preserve">    1</w:t>
      </w:r>
      <w:r>
        <w:rPr>
          <w:rFonts w:hint="eastAsia" w:ascii="宋体" w:hAnsi="宋体"/>
          <w:color w:val="auto"/>
          <w:kern w:val="0"/>
          <w:sz w:val="24"/>
          <w:highlight w:val="none"/>
          <w:lang w:val="en-US" w:eastAsia="zh-CN"/>
        </w:rPr>
        <w:t>个工作日内</w:t>
      </w:r>
      <w:r>
        <w:rPr>
          <w:rFonts w:ascii="宋体" w:hAnsi="宋体" w:eastAsia="宋体"/>
          <w:color w:val="auto"/>
          <w:kern w:val="0"/>
          <w:sz w:val="24"/>
          <w:highlight w:val="none"/>
        </w:rPr>
        <w:t>安排上岗人员</w:t>
      </w:r>
      <w:r>
        <w:rPr>
          <w:rFonts w:hint="eastAsia" w:ascii="宋体" w:hAnsi="宋体"/>
          <w:color w:val="auto"/>
          <w:kern w:val="0"/>
          <w:sz w:val="24"/>
          <w:highlight w:val="none"/>
          <w:lang w:eastAsia="zh-CN"/>
        </w:rPr>
        <w:t>，</w:t>
      </w:r>
      <w:r>
        <w:rPr>
          <w:rFonts w:ascii="宋体" w:hAnsi="宋体" w:eastAsia="宋体"/>
          <w:color w:val="auto"/>
          <w:kern w:val="0"/>
          <w:sz w:val="24"/>
          <w:highlight w:val="none"/>
        </w:rPr>
        <w:t>相关费用金额经甲乙双方协商</w:t>
      </w:r>
      <w:r>
        <w:rPr>
          <w:rFonts w:hint="eastAsia" w:ascii="宋体" w:hAnsi="宋体"/>
          <w:color w:val="auto"/>
          <w:kern w:val="0"/>
          <w:sz w:val="24"/>
          <w:highlight w:val="none"/>
          <w:lang w:val="en-US" w:eastAsia="zh-CN"/>
        </w:rPr>
        <w:t>确定，明确后签订补充协议</w:t>
      </w:r>
      <w:r>
        <w:rPr>
          <w:rFonts w:ascii="宋体" w:hAnsi="宋体" w:eastAsia="宋体"/>
          <w:color w:val="auto"/>
          <w:kern w:val="0"/>
          <w:sz w:val="24"/>
          <w:highlight w:val="none"/>
        </w:rPr>
        <w:t>。</w:t>
      </w:r>
    </w:p>
    <w:p w14:paraId="04F09B7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b/>
          <w:color w:val="auto"/>
          <w:kern w:val="2"/>
          <w:sz w:val="24"/>
          <w:szCs w:val="20"/>
          <w:highlight w:val="none"/>
          <w:lang w:val="en-US" w:eastAsia="zh-CN" w:bidi="ar-SA"/>
        </w:rPr>
      </w:pPr>
      <w:r>
        <w:rPr>
          <w:rFonts w:ascii="宋体" w:hAnsi="宋体" w:eastAsia="宋体" w:cs="Times New Roman"/>
          <w:b/>
          <w:color w:val="auto"/>
          <w:kern w:val="2"/>
          <w:sz w:val="24"/>
          <w:szCs w:val="20"/>
          <w:highlight w:val="none"/>
          <w:lang w:val="en-US" w:eastAsia="zh-CN" w:bidi="ar-SA"/>
        </w:rPr>
        <w:t>4. 设备</w:t>
      </w:r>
    </w:p>
    <w:p w14:paraId="0C105F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4.1.</w:t>
      </w:r>
      <w:r>
        <w:rPr>
          <w:rFonts w:ascii="宋体" w:hAnsi="宋体" w:eastAsia="宋体" w:cs="Times New Roman"/>
          <w:color w:val="auto"/>
          <w:kern w:val="2"/>
          <w:sz w:val="24"/>
          <w:szCs w:val="24"/>
          <w:highlight w:val="none"/>
          <w:lang w:val="en-US" w:eastAsia="zh-CN" w:bidi="ar-SA"/>
        </w:rPr>
        <w:t>各护理单元</w:t>
      </w:r>
      <w:r>
        <w:rPr>
          <w:rFonts w:hint="eastAsia" w:ascii="宋体" w:hAnsi="宋体" w:eastAsia="宋体" w:cs="Times New Roman"/>
          <w:color w:val="auto"/>
          <w:kern w:val="2"/>
          <w:sz w:val="24"/>
          <w:szCs w:val="24"/>
          <w:highlight w:val="none"/>
          <w:lang w:val="en-US" w:eastAsia="zh-CN" w:bidi="ar-SA"/>
        </w:rPr>
        <w:t>运送工作中</w:t>
      </w:r>
      <w:r>
        <w:rPr>
          <w:rFonts w:ascii="宋体" w:hAnsi="宋体" w:eastAsia="宋体" w:cs="Times New Roman"/>
          <w:color w:val="auto"/>
          <w:kern w:val="2"/>
          <w:sz w:val="24"/>
          <w:szCs w:val="24"/>
          <w:highlight w:val="none"/>
          <w:lang w:val="en-US" w:eastAsia="zh-CN" w:bidi="ar-SA"/>
        </w:rPr>
        <w:t>现</w:t>
      </w:r>
      <w:r>
        <w:rPr>
          <w:rFonts w:hint="eastAsia" w:ascii="宋体" w:hAnsi="宋体" w:eastAsia="宋体" w:cs="Times New Roman"/>
          <w:color w:val="auto"/>
          <w:kern w:val="2"/>
          <w:sz w:val="24"/>
          <w:szCs w:val="24"/>
          <w:highlight w:val="none"/>
          <w:lang w:val="en-US" w:eastAsia="zh-CN" w:bidi="ar-SA"/>
        </w:rPr>
        <w:t>使用的运输推车</w:t>
      </w:r>
      <w:r>
        <w:rPr>
          <w:rFonts w:ascii="宋体" w:hAnsi="宋体" w:eastAsia="宋体" w:cs="Times New Roman"/>
          <w:color w:val="auto"/>
          <w:kern w:val="2"/>
          <w:sz w:val="24"/>
          <w:szCs w:val="24"/>
          <w:highlight w:val="none"/>
          <w:lang w:val="en-US" w:eastAsia="zh-CN" w:bidi="ar-SA"/>
        </w:rPr>
        <w:t>、平车</w:t>
      </w:r>
      <w:r>
        <w:rPr>
          <w:rFonts w:hint="eastAsia" w:ascii="宋体" w:hAnsi="宋体" w:eastAsia="宋体" w:cs="Times New Roman"/>
          <w:color w:val="auto"/>
          <w:kern w:val="2"/>
          <w:sz w:val="24"/>
          <w:szCs w:val="24"/>
          <w:highlight w:val="none"/>
          <w:lang w:val="en-US" w:eastAsia="zh-CN" w:bidi="ar-SA"/>
        </w:rPr>
        <w:t>、运输箱包为乙方所有，使用过程中</w:t>
      </w:r>
      <w:r>
        <w:rPr>
          <w:rFonts w:ascii="宋体" w:hAnsi="宋体" w:eastAsia="宋体" w:cs="Times New Roman"/>
          <w:color w:val="auto"/>
          <w:kern w:val="2"/>
          <w:sz w:val="24"/>
          <w:szCs w:val="24"/>
          <w:highlight w:val="none"/>
          <w:lang w:val="en-US" w:eastAsia="zh-CN" w:bidi="ar-SA"/>
        </w:rPr>
        <w:t>所有权不变，</w:t>
      </w:r>
      <w:r>
        <w:rPr>
          <w:rFonts w:hint="eastAsia" w:ascii="宋体" w:hAnsi="宋体" w:eastAsia="宋体" w:cs="Times New Roman"/>
          <w:color w:val="auto"/>
          <w:kern w:val="2"/>
          <w:sz w:val="24"/>
          <w:szCs w:val="24"/>
          <w:highlight w:val="none"/>
          <w:lang w:val="en-US" w:eastAsia="zh-CN" w:bidi="ar-SA"/>
        </w:rPr>
        <w:t>均由乙方</w:t>
      </w:r>
      <w:r>
        <w:rPr>
          <w:rFonts w:ascii="宋体" w:hAnsi="宋体" w:eastAsia="宋体" w:cs="Times New Roman"/>
          <w:color w:val="auto"/>
          <w:kern w:val="2"/>
          <w:sz w:val="24"/>
          <w:szCs w:val="24"/>
          <w:highlight w:val="none"/>
          <w:lang w:val="en-US" w:eastAsia="zh-CN" w:bidi="ar-SA"/>
        </w:rPr>
        <w:t>负责报损</w:t>
      </w:r>
      <w:r>
        <w:rPr>
          <w:rFonts w:hint="eastAsia" w:ascii="宋体" w:hAnsi="宋体" w:eastAsia="宋体" w:cs="Times New Roman"/>
          <w:color w:val="auto"/>
          <w:kern w:val="2"/>
          <w:sz w:val="24"/>
          <w:szCs w:val="24"/>
          <w:highlight w:val="none"/>
          <w:lang w:val="en-US" w:eastAsia="zh-CN" w:bidi="ar-SA"/>
        </w:rPr>
        <w:t>、</w:t>
      </w:r>
      <w:r>
        <w:rPr>
          <w:rFonts w:ascii="宋体" w:hAnsi="宋体" w:eastAsia="宋体" w:cs="Times New Roman"/>
          <w:color w:val="auto"/>
          <w:kern w:val="2"/>
          <w:sz w:val="24"/>
          <w:szCs w:val="24"/>
          <w:highlight w:val="none"/>
          <w:lang w:val="en-US" w:eastAsia="zh-CN" w:bidi="ar-SA"/>
        </w:rPr>
        <w:t>更新、清洁，并每周进行性能检查及登记</w:t>
      </w:r>
      <w:r>
        <w:rPr>
          <w:rFonts w:hint="eastAsia" w:ascii="宋体" w:hAnsi="宋体" w:eastAsia="宋体" w:cs="Times New Roman"/>
          <w:color w:val="auto"/>
          <w:kern w:val="2"/>
          <w:sz w:val="24"/>
          <w:szCs w:val="24"/>
          <w:highlight w:val="none"/>
          <w:lang w:val="en-US" w:eastAsia="zh-CN" w:bidi="ar-SA"/>
        </w:rPr>
        <w:t>，若因设备维护不当导致甲方或患者财产损失、人员伤害，由乙方承担全部赔偿责任</w:t>
      </w:r>
      <w:r>
        <w:rPr>
          <w:rFonts w:ascii="宋体" w:hAnsi="宋体" w:eastAsia="宋体" w:cs="Times New Roman"/>
          <w:color w:val="auto"/>
          <w:kern w:val="2"/>
          <w:sz w:val="24"/>
          <w:szCs w:val="24"/>
          <w:highlight w:val="none"/>
          <w:lang w:val="en-US" w:eastAsia="zh-CN" w:bidi="ar-SA"/>
        </w:rPr>
        <w:t>。</w:t>
      </w:r>
    </w:p>
    <w:p w14:paraId="70D7DDE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4.2 现有信息平台及建设软硬件设备归西安市第五医院所有，甲方享有完全的知识产权。乙方负责系统升级及软硬件维护包括维护产生的所有费用。</w:t>
      </w:r>
    </w:p>
    <w:p w14:paraId="7EA2DEA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b/>
          <w:color w:val="auto"/>
          <w:kern w:val="2"/>
          <w:sz w:val="24"/>
          <w:szCs w:val="20"/>
          <w:highlight w:val="none"/>
          <w:lang w:val="en-US" w:eastAsia="zh-CN" w:bidi="ar-SA"/>
        </w:rPr>
      </w:pPr>
      <w:r>
        <w:rPr>
          <w:rFonts w:ascii="宋体" w:hAnsi="宋体" w:eastAsia="宋体" w:cs="Times New Roman"/>
          <w:b/>
          <w:color w:val="auto"/>
          <w:kern w:val="2"/>
          <w:sz w:val="24"/>
          <w:szCs w:val="20"/>
          <w:highlight w:val="none"/>
          <w:lang w:val="en-US" w:eastAsia="zh-CN" w:bidi="ar-SA"/>
        </w:rPr>
        <w:t>5. 付款</w:t>
      </w:r>
    </w:p>
    <w:p w14:paraId="6F64DBFF">
      <w:pPr>
        <w:keepNext w:val="0"/>
        <w:keepLines w:val="0"/>
        <w:pageBreakBefore w:val="0"/>
        <w:widowControl w:val="0"/>
        <w:wordWrap/>
        <w:overflowPunct/>
        <w:topLinePunct w:val="0"/>
        <w:bidi w:val="0"/>
        <w:adjustRightInd w:val="0"/>
        <w:snapToGrid w:val="0"/>
        <w:spacing w:line="360" w:lineRule="auto"/>
        <w:ind w:firstLine="480" w:firstLineChars="200"/>
        <w:jc w:val="both"/>
        <w:rPr>
          <w:rFonts w:hint="default" w:ascii="Times New Roman" w:hAnsi="Times New Roman" w:eastAsia="宋体" w:cs="Times New Roman"/>
          <w:color w:val="auto"/>
          <w:kern w:val="2"/>
          <w:sz w:val="24"/>
          <w:szCs w:val="20"/>
          <w:highlight w:val="none"/>
          <w:lang w:val="en-US" w:eastAsia="zh-CN" w:bidi="ar-SA"/>
        </w:rPr>
      </w:pPr>
      <w:r>
        <w:rPr>
          <w:rFonts w:ascii="Times New Roman" w:hAnsi="Times New Roman" w:eastAsia="宋体" w:cs="Times New Roman"/>
          <w:color w:val="auto"/>
          <w:kern w:val="2"/>
          <w:sz w:val="24"/>
          <w:szCs w:val="20"/>
          <w:highlight w:val="none"/>
          <w:lang w:val="en-US" w:eastAsia="zh-CN" w:bidi="ar-SA"/>
        </w:rPr>
        <w:t>5.1</w:t>
      </w:r>
      <w:r>
        <w:rPr>
          <w:rFonts w:hint="eastAsia" w:ascii="Times New Roman" w:hAnsi="Times New Roman" w:eastAsia="宋体" w:cs="Times New Roman"/>
          <w:color w:val="auto"/>
          <w:kern w:val="2"/>
          <w:sz w:val="24"/>
          <w:szCs w:val="20"/>
          <w:highlight w:val="none"/>
          <w:lang w:val="en-US" w:eastAsia="zh-CN" w:bidi="ar-SA"/>
        </w:rPr>
        <w:t>本项目总预算大写</w:t>
      </w:r>
      <w:r>
        <w:rPr>
          <w:rFonts w:hint="eastAsia" w:ascii="Times New Roman" w:hAnsi="Times New Roman" w:eastAsia="宋体" w:cs="Times New Roman"/>
          <w:color w:val="auto"/>
          <w:kern w:val="2"/>
          <w:sz w:val="24"/>
          <w:szCs w:val="20"/>
          <w:highlight w:val="none"/>
          <w:u w:val="single"/>
          <w:lang w:val="en-US" w:eastAsia="zh-CN" w:bidi="ar-SA"/>
        </w:rPr>
        <w:t xml:space="preserve">        </w:t>
      </w:r>
      <w:r>
        <w:rPr>
          <w:rFonts w:hint="eastAsia" w:ascii="Times New Roman" w:hAnsi="Times New Roman" w:eastAsia="宋体" w:cs="Times New Roman"/>
          <w:color w:val="auto"/>
          <w:kern w:val="2"/>
          <w:sz w:val="24"/>
          <w:szCs w:val="20"/>
          <w:highlight w:val="none"/>
          <w:lang w:val="en-US" w:eastAsia="zh-CN" w:bidi="ar-SA"/>
        </w:rPr>
        <w:t>元：小写</w:t>
      </w:r>
      <w:r>
        <w:rPr>
          <w:rFonts w:hint="eastAsia" w:ascii="Times New Roman" w:hAnsi="Times New Roman" w:eastAsia="宋体" w:cs="Times New Roman"/>
          <w:color w:val="auto"/>
          <w:kern w:val="2"/>
          <w:sz w:val="24"/>
          <w:szCs w:val="20"/>
          <w:highlight w:val="none"/>
          <w:u w:val="single"/>
          <w:lang w:val="en-US" w:eastAsia="zh-CN" w:bidi="ar-SA"/>
        </w:rPr>
        <w:t xml:space="preserve">          </w:t>
      </w:r>
      <w:r>
        <w:rPr>
          <w:rFonts w:hint="eastAsia" w:ascii="Times New Roman" w:hAnsi="Times New Roman" w:eastAsia="宋体" w:cs="Times New Roman"/>
          <w:color w:val="auto"/>
          <w:kern w:val="2"/>
          <w:sz w:val="24"/>
          <w:szCs w:val="20"/>
          <w:highlight w:val="none"/>
          <w:lang w:val="en-US" w:eastAsia="zh-CN" w:bidi="ar-SA"/>
        </w:rPr>
        <w:t>元，原项目配置软硬件维护继续由乙方免费维护，不另行计费。</w:t>
      </w:r>
    </w:p>
    <w:p w14:paraId="140278F2">
      <w:pPr>
        <w:keepNext w:val="0"/>
        <w:keepLines w:val="0"/>
        <w:pageBreakBefore w:val="0"/>
        <w:widowControl w:val="0"/>
        <w:wordWrap/>
        <w:overflowPunct/>
        <w:topLinePunct w:val="0"/>
        <w:bidi w:val="0"/>
        <w:adjustRightInd w:val="0"/>
        <w:snapToGrid w:val="0"/>
        <w:spacing w:line="360" w:lineRule="auto"/>
        <w:ind w:firstLine="480" w:firstLineChars="200"/>
        <w:jc w:val="both"/>
        <w:rPr>
          <w:rFonts w:hint="eastAsia" w:ascii="Times New Roman" w:hAnsi="Times New Roman" w:eastAsia="宋体" w:cs="Times New Roman"/>
          <w:color w:val="auto"/>
          <w:kern w:val="2"/>
          <w:sz w:val="24"/>
          <w:szCs w:val="20"/>
          <w:highlight w:val="none"/>
          <w:lang w:val="en-US" w:eastAsia="zh-CN" w:bidi="ar-SA"/>
        </w:rPr>
      </w:pPr>
      <w:r>
        <w:rPr>
          <w:rFonts w:hint="eastAsia" w:ascii="Times New Roman" w:hAnsi="Times New Roman" w:eastAsia="宋体" w:cs="Times New Roman"/>
          <w:color w:val="auto"/>
          <w:kern w:val="2"/>
          <w:sz w:val="24"/>
          <w:szCs w:val="20"/>
          <w:highlight w:val="none"/>
          <w:lang w:val="en-US" w:eastAsia="zh-CN" w:bidi="ar-SA"/>
        </w:rPr>
        <w:t>每月根据患者服务管理中心人员实际打卡情况进行考核，考核标准如下：</w:t>
      </w:r>
    </w:p>
    <w:p w14:paraId="1697BA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auto"/>
          <w:kern w:val="2"/>
          <w:sz w:val="24"/>
          <w:szCs w:val="20"/>
          <w:highlight w:val="none"/>
          <w:lang w:val="en-US" w:eastAsia="zh-CN" w:bidi="ar-SA"/>
        </w:rPr>
      </w:pPr>
      <w:r>
        <w:rPr>
          <w:rFonts w:hint="eastAsia" w:ascii="宋体" w:hAnsi="宋体" w:eastAsia="宋体" w:cs="Times New Roman"/>
          <w:color w:val="auto"/>
          <w:kern w:val="2"/>
          <w:sz w:val="24"/>
          <w:szCs w:val="20"/>
          <w:highlight w:val="none"/>
          <w:lang w:val="en-US" w:eastAsia="zh-CN" w:bidi="ar-SA"/>
        </w:rPr>
        <w:t>服务费用按照每月实际缺勤人数扣款（实际服务费中标价格/19人/12月）。</w:t>
      </w:r>
    </w:p>
    <w:p w14:paraId="378576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color w:val="auto"/>
          <w:kern w:val="2"/>
          <w:sz w:val="24"/>
          <w:szCs w:val="20"/>
          <w:highlight w:val="none"/>
          <w:lang w:val="en-US" w:eastAsia="zh-CN" w:bidi="ar-SA"/>
        </w:rPr>
      </w:pPr>
      <w:r>
        <w:rPr>
          <w:rFonts w:hint="eastAsia" w:ascii="宋体" w:hAnsi="宋体" w:eastAsia="宋体" w:cs="Times New Roman"/>
          <w:color w:val="auto"/>
          <w:kern w:val="2"/>
          <w:sz w:val="24"/>
          <w:szCs w:val="20"/>
          <w:highlight w:val="none"/>
          <w:lang w:val="en-US" w:eastAsia="zh-CN" w:bidi="ar-SA"/>
        </w:rPr>
        <w:t>注：患者服务管理中心中央运送到岗人数为患者服务管理中心人员实际打卡工作天数在22天以上者（含22天）且工作量不低于380单/月；驻科护理员按照实际出勤天数（不少于22天）付款。每月到岗人数须满足甲方实际工作需求，低于甲方要求服务人数或配置低于10人，甲方有权终止服务合同，同时乙方须赔偿甲方损失。其他考核标准详见合同附件。</w:t>
      </w:r>
    </w:p>
    <w:p w14:paraId="6D1264CD">
      <w:pPr>
        <w:keepNext w:val="0"/>
        <w:keepLines w:val="0"/>
        <w:pageBreakBefore w:val="0"/>
        <w:widowControl w:val="0"/>
        <w:kinsoku/>
        <w:wordWrap/>
        <w:overflowPunct/>
        <w:topLinePunct w:val="0"/>
        <w:autoSpaceDE/>
        <w:autoSpaceDN/>
        <w:bidi w:val="0"/>
        <w:adjustRightInd w:val="0"/>
        <w:snapToGrid w:val="0"/>
        <w:spacing w:line="360" w:lineRule="auto"/>
        <w:jc w:val="both"/>
        <w:rPr>
          <w:rFonts w:ascii="宋体" w:hAnsi="宋体" w:eastAsia="宋体" w:cs="Times New Roman"/>
          <w:color w:val="auto"/>
          <w:kern w:val="2"/>
          <w:sz w:val="24"/>
          <w:szCs w:val="20"/>
          <w:highlight w:val="none"/>
          <w:lang w:val="en-US" w:eastAsia="zh-CN" w:bidi="ar-SA"/>
        </w:rPr>
      </w:pPr>
      <w:r>
        <w:rPr>
          <w:rFonts w:hint="eastAsia" w:ascii="宋体" w:hAnsi="宋体" w:eastAsia="宋体" w:cs="Times New Roman"/>
          <w:color w:val="auto"/>
          <w:kern w:val="2"/>
          <w:sz w:val="24"/>
          <w:szCs w:val="20"/>
          <w:highlight w:val="none"/>
          <w:lang w:val="en-US" w:eastAsia="zh-CN" w:bidi="ar-SA"/>
        </w:rPr>
        <w:t>5.1.1服务协议签订后，甲方需在签订日期后的协议期内按照与乙方约定支付服务费用。</w:t>
      </w:r>
    </w:p>
    <w:p w14:paraId="24A24B00">
      <w:pPr>
        <w:keepNext w:val="0"/>
        <w:keepLines w:val="0"/>
        <w:pageBreakBefore w:val="0"/>
        <w:widowControl w:val="0"/>
        <w:kinsoku/>
        <w:wordWrap/>
        <w:overflowPunct/>
        <w:topLinePunct w:val="0"/>
        <w:autoSpaceDE/>
        <w:autoSpaceDN/>
        <w:bidi w:val="0"/>
        <w:adjustRightInd w:val="0"/>
        <w:snapToGrid w:val="0"/>
        <w:spacing w:line="360" w:lineRule="auto"/>
        <w:jc w:val="both"/>
        <w:rPr>
          <w:rFonts w:ascii="宋体" w:hAnsi="宋体" w:eastAsia="宋体" w:cs="Times New Roman"/>
          <w:color w:val="auto"/>
          <w:kern w:val="2"/>
          <w:sz w:val="24"/>
          <w:szCs w:val="20"/>
          <w:highlight w:val="none"/>
          <w:lang w:val="en-US" w:eastAsia="zh-CN" w:bidi="ar-SA"/>
        </w:rPr>
      </w:pPr>
      <w:r>
        <w:rPr>
          <w:rFonts w:hint="eastAsia" w:ascii="宋体" w:hAnsi="宋体" w:eastAsia="宋体" w:cs="Times New Roman"/>
          <w:color w:val="auto"/>
          <w:kern w:val="2"/>
          <w:sz w:val="24"/>
          <w:szCs w:val="20"/>
          <w:highlight w:val="none"/>
          <w:lang w:val="en-US" w:eastAsia="zh-CN" w:bidi="ar-SA"/>
        </w:rPr>
        <w:t>5.1.2 合同总价一次性包死，不受市场价格变化因素的影响。</w:t>
      </w:r>
    </w:p>
    <w:p w14:paraId="3DA369B1">
      <w:pPr>
        <w:keepNext w:val="0"/>
        <w:keepLines w:val="0"/>
        <w:pageBreakBefore w:val="0"/>
        <w:widowControl w:val="0"/>
        <w:kinsoku/>
        <w:wordWrap/>
        <w:overflowPunct/>
        <w:topLinePunct w:val="0"/>
        <w:autoSpaceDE/>
        <w:autoSpaceDN/>
        <w:bidi w:val="0"/>
        <w:adjustRightInd w:val="0"/>
        <w:snapToGrid w:val="0"/>
        <w:spacing w:line="360" w:lineRule="auto"/>
        <w:jc w:val="both"/>
        <w:rPr>
          <w:rFonts w:ascii="宋体" w:hAnsi="宋体" w:eastAsia="宋体" w:cs="Times New Roman"/>
          <w:color w:val="auto"/>
          <w:kern w:val="2"/>
          <w:sz w:val="24"/>
          <w:szCs w:val="20"/>
          <w:highlight w:val="none"/>
          <w:lang w:val="en-US" w:eastAsia="zh-CN" w:bidi="ar-SA"/>
        </w:rPr>
      </w:pPr>
      <w:r>
        <w:rPr>
          <w:rFonts w:hint="eastAsia" w:ascii="宋体" w:hAnsi="宋体" w:eastAsia="宋体" w:cs="Times New Roman"/>
          <w:color w:val="auto"/>
          <w:kern w:val="2"/>
          <w:sz w:val="24"/>
          <w:szCs w:val="20"/>
          <w:highlight w:val="none"/>
          <w:lang w:val="en-US" w:eastAsia="zh-CN" w:bidi="ar-SA"/>
        </w:rPr>
        <w:t>5.1.3费用每季度结算一次，每季度支付费用=服务费总价/4减去每季度考核扣款。结算日期</w:t>
      </w:r>
      <w:r>
        <w:rPr>
          <w:rFonts w:hint="eastAsia" w:ascii="Times New Roman" w:hAnsi="Times New Roman" w:eastAsia="宋体" w:cs="Times New Roman"/>
          <w:color w:val="auto"/>
          <w:kern w:val="2"/>
          <w:sz w:val="24"/>
          <w:szCs w:val="20"/>
          <w:highlight w:val="none"/>
          <w:lang w:val="en-US" w:eastAsia="zh-CN" w:bidi="ar-SA"/>
        </w:rPr>
        <w:t>为收到乙方发票</w:t>
      </w:r>
      <w:r>
        <w:rPr>
          <w:rFonts w:hint="eastAsia" w:ascii="Times New Roman" w:hAnsi="Times New Roman" w:eastAsia="宋体" w:cs="Times New Roman"/>
          <w:color w:val="auto"/>
          <w:kern w:val="2"/>
          <w:sz w:val="24"/>
          <w:szCs w:val="20"/>
          <w:highlight w:val="none"/>
          <w:u w:val="single"/>
          <w:lang w:val="en-US" w:eastAsia="zh-CN" w:bidi="ar-SA"/>
        </w:rPr>
        <w:t>10</w:t>
      </w:r>
      <w:r>
        <w:rPr>
          <w:rFonts w:hint="eastAsia" w:ascii="Times New Roman" w:hAnsi="Times New Roman" w:eastAsia="宋体" w:cs="Times New Roman"/>
          <w:color w:val="auto"/>
          <w:kern w:val="2"/>
          <w:sz w:val="24"/>
          <w:szCs w:val="20"/>
          <w:highlight w:val="none"/>
          <w:lang w:val="en-US" w:eastAsia="zh-CN" w:bidi="ar-SA"/>
        </w:rPr>
        <w:t>个工作日内结算上季度费用</w:t>
      </w:r>
      <w:r>
        <w:rPr>
          <w:rFonts w:hint="eastAsia" w:ascii="宋体" w:hAnsi="宋体" w:eastAsia="宋体" w:cs="Times New Roman"/>
          <w:color w:val="auto"/>
          <w:kern w:val="2"/>
          <w:sz w:val="24"/>
          <w:szCs w:val="20"/>
          <w:highlight w:val="none"/>
          <w:lang w:val="en-US" w:eastAsia="zh-CN" w:bidi="ar-SA"/>
        </w:rPr>
        <w:t>。实际结算金额甲方依据本合同的约定及乙方的服务数量、质量及满意度等结果，据实结算。</w:t>
      </w:r>
    </w:p>
    <w:p w14:paraId="2738BD6E">
      <w:pPr>
        <w:keepNext w:val="0"/>
        <w:keepLines w:val="0"/>
        <w:pageBreakBefore w:val="0"/>
        <w:widowControl w:val="0"/>
        <w:kinsoku/>
        <w:wordWrap/>
        <w:overflowPunct/>
        <w:topLinePunct w:val="0"/>
        <w:autoSpaceDE/>
        <w:autoSpaceDN/>
        <w:bidi w:val="0"/>
        <w:adjustRightInd w:val="0"/>
        <w:snapToGrid w:val="0"/>
        <w:spacing w:line="360" w:lineRule="auto"/>
        <w:jc w:val="both"/>
        <w:rPr>
          <w:rFonts w:ascii="宋体" w:hAnsi="宋体" w:eastAsia="宋体" w:cs="Times New Roman"/>
          <w:color w:val="auto"/>
          <w:kern w:val="2"/>
          <w:sz w:val="24"/>
          <w:szCs w:val="20"/>
          <w:highlight w:val="none"/>
          <w:u w:val="single"/>
          <w:lang w:val="en-US" w:eastAsia="zh-CN" w:bidi="ar-SA"/>
        </w:rPr>
      </w:pPr>
      <w:r>
        <w:rPr>
          <w:rFonts w:hint="eastAsia" w:ascii="宋体" w:hAnsi="宋体" w:eastAsia="宋体" w:cs="Times New Roman"/>
          <w:color w:val="auto"/>
          <w:kern w:val="2"/>
          <w:sz w:val="24"/>
          <w:szCs w:val="20"/>
          <w:highlight w:val="none"/>
          <w:lang w:val="en-US" w:eastAsia="zh-CN" w:bidi="ar-SA"/>
        </w:rPr>
        <w:t xml:space="preserve">5.2 付款方式：银行转账。 </w:t>
      </w:r>
    </w:p>
    <w:p w14:paraId="77E0D7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eastAsia="宋体" w:cs="Times New Roman"/>
          <w:color w:val="auto"/>
          <w:kern w:val="2"/>
          <w:sz w:val="24"/>
          <w:szCs w:val="20"/>
          <w:highlight w:val="none"/>
          <w:u w:val="single"/>
          <w:lang w:val="en-US" w:eastAsia="zh-CN" w:bidi="ar-SA"/>
        </w:rPr>
      </w:pPr>
      <w:r>
        <w:rPr>
          <w:rFonts w:hint="eastAsia" w:ascii="Times New Roman" w:hAnsi="Times New Roman" w:eastAsia="宋体" w:cs="Times New Roman"/>
          <w:color w:val="auto"/>
          <w:kern w:val="2"/>
          <w:sz w:val="24"/>
          <w:szCs w:val="20"/>
          <w:highlight w:val="none"/>
          <w:lang w:val="en-US" w:eastAsia="zh-CN" w:bidi="ar-SA"/>
        </w:rPr>
        <w:t>名  称：</w:t>
      </w:r>
      <w:r>
        <w:rPr>
          <w:rFonts w:hint="eastAsia" w:ascii="Times New Roman" w:hAnsi="Times New Roman" w:eastAsia="宋体" w:cs="Times New Roman"/>
          <w:color w:val="auto"/>
          <w:kern w:val="2"/>
          <w:sz w:val="24"/>
          <w:szCs w:val="20"/>
          <w:highlight w:val="none"/>
          <w:u w:val="single"/>
          <w:lang w:val="en-US" w:eastAsia="zh-CN" w:bidi="ar-SA"/>
        </w:rPr>
        <w:t xml:space="preserve">                 </w:t>
      </w:r>
    </w:p>
    <w:p w14:paraId="1A855F9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eastAsia="宋体" w:cs="Times New Roman"/>
          <w:color w:val="auto"/>
          <w:kern w:val="2"/>
          <w:sz w:val="24"/>
          <w:szCs w:val="20"/>
          <w:highlight w:val="none"/>
          <w:u w:val="single"/>
          <w:lang w:val="en-US" w:eastAsia="zh-CN" w:bidi="ar-SA"/>
        </w:rPr>
      </w:pPr>
      <w:r>
        <w:rPr>
          <w:rFonts w:hint="eastAsia" w:ascii="Times New Roman" w:hAnsi="Times New Roman" w:eastAsia="宋体" w:cs="Times New Roman"/>
          <w:color w:val="auto"/>
          <w:kern w:val="2"/>
          <w:sz w:val="24"/>
          <w:szCs w:val="20"/>
          <w:highlight w:val="none"/>
          <w:u w:val="none"/>
          <w:lang w:val="en-US" w:eastAsia="zh-CN" w:bidi="ar-SA"/>
        </w:rPr>
        <w:t>开户行：</w:t>
      </w:r>
      <w:r>
        <w:rPr>
          <w:rFonts w:hint="eastAsia" w:ascii="Times New Roman" w:hAnsi="Times New Roman" w:eastAsia="宋体" w:cs="Times New Roman"/>
          <w:color w:val="auto"/>
          <w:kern w:val="2"/>
          <w:sz w:val="24"/>
          <w:szCs w:val="20"/>
          <w:highlight w:val="none"/>
          <w:u w:val="single"/>
          <w:lang w:val="en-US" w:eastAsia="zh-CN" w:bidi="ar-SA"/>
        </w:rPr>
        <w:t xml:space="preserve">                 </w:t>
      </w:r>
    </w:p>
    <w:p w14:paraId="5FAB24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rPr>
          <w:rFonts w:hint="default" w:ascii="Times New Roman" w:hAnsi="Times New Roman" w:eastAsia="宋体" w:cs="Times New Roman"/>
          <w:color w:val="auto"/>
          <w:kern w:val="2"/>
          <w:sz w:val="24"/>
          <w:szCs w:val="20"/>
          <w:highlight w:val="none"/>
          <w:u w:val="single"/>
          <w:lang w:val="en-US" w:eastAsia="zh-CN" w:bidi="ar-SA"/>
        </w:rPr>
      </w:pPr>
      <w:r>
        <w:rPr>
          <w:rFonts w:hint="eastAsia" w:ascii="Times New Roman" w:hAnsi="Times New Roman" w:eastAsia="宋体" w:cs="Times New Roman"/>
          <w:color w:val="auto"/>
          <w:kern w:val="2"/>
          <w:sz w:val="24"/>
          <w:szCs w:val="20"/>
          <w:highlight w:val="none"/>
          <w:u w:val="none"/>
          <w:lang w:val="en-US" w:eastAsia="zh-CN" w:bidi="ar-SA"/>
        </w:rPr>
        <w:t>账  号：</w:t>
      </w:r>
      <w:r>
        <w:rPr>
          <w:rFonts w:hint="eastAsia" w:ascii="Times New Roman" w:hAnsi="Times New Roman" w:eastAsia="宋体" w:cs="Times New Roman"/>
          <w:color w:val="auto"/>
          <w:kern w:val="2"/>
          <w:sz w:val="24"/>
          <w:szCs w:val="20"/>
          <w:highlight w:val="none"/>
          <w:u w:val="single"/>
          <w:lang w:val="en-US" w:eastAsia="zh-CN" w:bidi="ar-SA"/>
        </w:rPr>
        <w:t xml:space="preserve">                 </w:t>
      </w:r>
    </w:p>
    <w:p w14:paraId="7A042D4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rPr>
          <w:rFonts w:ascii="宋体" w:hAnsi="宋体" w:eastAsia="宋体" w:cs="Times New Roman"/>
          <w:color w:val="auto"/>
          <w:kern w:val="2"/>
          <w:sz w:val="24"/>
          <w:szCs w:val="20"/>
          <w:highlight w:val="none"/>
          <w:lang w:val="en-US" w:eastAsia="zh-CN" w:bidi="ar-SA"/>
        </w:rPr>
      </w:pPr>
      <w:r>
        <w:rPr>
          <w:rFonts w:hint="eastAsia" w:ascii="宋体" w:hAnsi="宋体" w:eastAsia="宋体" w:cs="Times New Roman"/>
          <w:color w:val="auto"/>
          <w:kern w:val="2"/>
          <w:sz w:val="24"/>
          <w:szCs w:val="20"/>
          <w:highlight w:val="none"/>
          <w:lang w:val="en-US" w:eastAsia="zh-CN" w:bidi="ar-SA"/>
        </w:rPr>
        <w:t>甲方仅认可上述指定账户并向该账户付款。否则甲方有权拒绝向指定账户之外的任何账户付款，并且由此导致的付款延迟责任由乙方承担。</w:t>
      </w:r>
    </w:p>
    <w:p w14:paraId="5782A6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b/>
          <w:color w:val="auto"/>
          <w:kern w:val="2"/>
          <w:sz w:val="24"/>
          <w:szCs w:val="20"/>
          <w:highlight w:val="none"/>
          <w:lang w:val="en-US" w:eastAsia="zh-CN" w:bidi="ar-SA"/>
        </w:rPr>
      </w:pPr>
      <w:r>
        <w:rPr>
          <w:rFonts w:hint="eastAsia" w:ascii="宋体" w:hAnsi="宋体" w:eastAsia="宋体" w:cs="Times New Roman"/>
          <w:color w:val="auto"/>
          <w:kern w:val="2"/>
          <w:sz w:val="24"/>
          <w:szCs w:val="20"/>
          <w:highlight w:val="none"/>
          <w:lang w:val="en-US" w:eastAsia="zh-CN" w:bidi="ar-SA"/>
        </w:rPr>
        <w:t>乙方要如实开具发票，不得变更开票内容，乙方开具发票出现税务争议时，乙方需承担税款、滞纳金、罚款等赔偿责任以及其他相关责任。</w:t>
      </w:r>
    </w:p>
    <w:p w14:paraId="33FECAE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default" w:ascii="宋体" w:hAnsi="宋体" w:eastAsia="宋体" w:cs="Times New Roman"/>
          <w:b/>
          <w:color w:val="auto"/>
          <w:kern w:val="2"/>
          <w:sz w:val="24"/>
          <w:szCs w:val="20"/>
          <w:highlight w:val="none"/>
          <w:lang w:val="en-US" w:eastAsia="zh-CN" w:bidi="ar-SA"/>
        </w:rPr>
      </w:pPr>
      <w:r>
        <w:rPr>
          <w:rFonts w:hint="eastAsia" w:ascii="宋体" w:hAnsi="宋体" w:eastAsia="宋体" w:cs="Times New Roman"/>
          <w:b/>
          <w:color w:val="auto"/>
          <w:kern w:val="2"/>
          <w:sz w:val="24"/>
          <w:szCs w:val="20"/>
          <w:highlight w:val="none"/>
          <w:lang w:val="en-US" w:eastAsia="zh-CN" w:bidi="ar-SA"/>
        </w:rPr>
        <w:t>6.合同有效</w:t>
      </w:r>
      <w:r>
        <w:rPr>
          <w:rFonts w:ascii="宋体" w:hAnsi="宋体" w:eastAsia="宋体" w:cs="Times New Roman"/>
          <w:b/>
          <w:color w:val="auto"/>
          <w:kern w:val="2"/>
          <w:sz w:val="24"/>
          <w:szCs w:val="20"/>
          <w:highlight w:val="none"/>
          <w:lang w:val="en-US" w:eastAsia="zh-CN" w:bidi="ar-SA"/>
        </w:rPr>
        <w:t>期限</w:t>
      </w:r>
      <w:r>
        <w:rPr>
          <w:rFonts w:hint="eastAsia" w:ascii="宋体" w:hAnsi="宋体" w:eastAsia="宋体" w:cs="Times New Roman"/>
          <w:b/>
          <w:color w:val="auto"/>
          <w:kern w:val="2"/>
          <w:sz w:val="24"/>
          <w:szCs w:val="20"/>
          <w:highlight w:val="none"/>
          <w:lang w:val="en-US" w:eastAsia="zh-CN" w:bidi="ar-SA"/>
        </w:rPr>
        <w:t>：</w:t>
      </w:r>
      <w:r>
        <w:rPr>
          <w:rFonts w:hint="eastAsia" w:ascii="宋体" w:hAnsi="宋体" w:eastAsia="宋体" w:cs="Times New Roman"/>
          <w:bCs/>
          <w:color w:val="auto"/>
          <w:kern w:val="2"/>
          <w:sz w:val="24"/>
          <w:szCs w:val="20"/>
          <w:highlight w:val="none"/>
          <w:lang w:val="en-US" w:eastAsia="zh-CN" w:bidi="ar-SA"/>
        </w:rPr>
        <w:t>1年、</w:t>
      </w:r>
      <w:r>
        <w:rPr>
          <w:rFonts w:hint="eastAsia" w:ascii="宋体" w:hAnsi="宋体" w:eastAsia="宋体" w:cs="Times New Roman"/>
          <w:bCs/>
          <w:color w:val="auto"/>
          <w:kern w:val="2"/>
          <w:sz w:val="24"/>
          <w:szCs w:val="20"/>
          <w:highlight w:val="none"/>
          <w:u w:val="single"/>
          <w:lang w:val="en-US" w:eastAsia="zh-CN" w:bidi="ar-SA"/>
        </w:rPr>
        <w:t xml:space="preserve">   </w:t>
      </w:r>
      <w:r>
        <w:rPr>
          <w:rFonts w:hint="eastAsia" w:ascii="宋体" w:hAnsi="宋体" w:eastAsia="宋体" w:cs="Times New Roman"/>
          <w:bCs/>
          <w:color w:val="auto"/>
          <w:kern w:val="2"/>
          <w:sz w:val="24"/>
          <w:szCs w:val="20"/>
          <w:highlight w:val="none"/>
          <w:lang w:val="en-US" w:eastAsia="zh-CN" w:bidi="ar-SA"/>
        </w:rPr>
        <w:t>年</w:t>
      </w:r>
      <w:r>
        <w:rPr>
          <w:rFonts w:hint="eastAsia" w:ascii="宋体" w:hAnsi="宋体" w:eastAsia="宋体" w:cs="Times New Roman"/>
          <w:bCs/>
          <w:color w:val="auto"/>
          <w:kern w:val="2"/>
          <w:sz w:val="24"/>
          <w:szCs w:val="20"/>
          <w:highlight w:val="none"/>
          <w:u w:val="single"/>
          <w:lang w:val="en-US" w:eastAsia="zh-CN" w:bidi="ar-SA"/>
        </w:rPr>
        <w:t xml:space="preserve">    </w:t>
      </w:r>
      <w:r>
        <w:rPr>
          <w:rFonts w:hint="eastAsia" w:ascii="宋体" w:hAnsi="宋体" w:eastAsia="宋体" w:cs="Times New Roman"/>
          <w:bCs/>
          <w:color w:val="auto"/>
          <w:kern w:val="2"/>
          <w:sz w:val="24"/>
          <w:szCs w:val="20"/>
          <w:highlight w:val="none"/>
          <w:lang w:val="en-US" w:eastAsia="zh-CN" w:bidi="ar-SA"/>
        </w:rPr>
        <w:t>月</w:t>
      </w:r>
      <w:r>
        <w:rPr>
          <w:rFonts w:hint="eastAsia" w:ascii="宋体" w:hAnsi="宋体" w:eastAsia="宋体" w:cs="Times New Roman"/>
          <w:bCs/>
          <w:color w:val="auto"/>
          <w:kern w:val="2"/>
          <w:sz w:val="24"/>
          <w:szCs w:val="20"/>
          <w:highlight w:val="none"/>
          <w:u w:val="single"/>
          <w:lang w:val="en-US" w:eastAsia="zh-CN" w:bidi="ar-SA"/>
        </w:rPr>
        <w:t xml:space="preserve">    </w:t>
      </w:r>
      <w:r>
        <w:rPr>
          <w:rFonts w:hint="eastAsia" w:ascii="宋体" w:hAnsi="宋体" w:eastAsia="宋体" w:cs="Times New Roman"/>
          <w:bCs/>
          <w:color w:val="auto"/>
          <w:kern w:val="2"/>
          <w:sz w:val="24"/>
          <w:szCs w:val="20"/>
          <w:highlight w:val="none"/>
          <w:lang w:val="en-US" w:eastAsia="zh-CN" w:bidi="ar-SA"/>
        </w:rPr>
        <w:t>日至</w:t>
      </w:r>
      <w:r>
        <w:rPr>
          <w:rFonts w:hint="eastAsia" w:ascii="宋体" w:hAnsi="宋体" w:eastAsia="宋体" w:cs="Times New Roman"/>
          <w:bCs/>
          <w:color w:val="auto"/>
          <w:kern w:val="2"/>
          <w:sz w:val="24"/>
          <w:szCs w:val="20"/>
          <w:highlight w:val="none"/>
          <w:u w:val="single"/>
          <w:lang w:val="en-US" w:eastAsia="zh-CN" w:bidi="ar-SA"/>
        </w:rPr>
        <w:t xml:space="preserve">    </w:t>
      </w:r>
      <w:r>
        <w:rPr>
          <w:rFonts w:hint="eastAsia" w:ascii="宋体" w:hAnsi="宋体" w:eastAsia="宋体" w:cs="Times New Roman"/>
          <w:bCs/>
          <w:color w:val="auto"/>
          <w:kern w:val="2"/>
          <w:sz w:val="24"/>
          <w:szCs w:val="20"/>
          <w:highlight w:val="none"/>
          <w:lang w:val="en-US" w:eastAsia="zh-CN" w:bidi="ar-SA"/>
        </w:rPr>
        <w:t>年</w:t>
      </w:r>
      <w:r>
        <w:rPr>
          <w:rFonts w:hint="eastAsia" w:ascii="宋体" w:hAnsi="宋体" w:eastAsia="宋体" w:cs="Times New Roman"/>
          <w:bCs/>
          <w:color w:val="auto"/>
          <w:kern w:val="2"/>
          <w:sz w:val="24"/>
          <w:szCs w:val="20"/>
          <w:highlight w:val="none"/>
          <w:u w:val="single"/>
          <w:lang w:val="en-US" w:eastAsia="zh-CN" w:bidi="ar-SA"/>
        </w:rPr>
        <w:t xml:space="preserve">    </w:t>
      </w:r>
      <w:r>
        <w:rPr>
          <w:rFonts w:hint="eastAsia" w:ascii="宋体" w:hAnsi="宋体" w:eastAsia="宋体" w:cs="Times New Roman"/>
          <w:bCs/>
          <w:color w:val="auto"/>
          <w:kern w:val="2"/>
          <w:sz w:val="24"/>
          <w:szCs w:val="20"/>
          <w:highlight w:val="none"/>
          <w:lang w:val="en-US" w:eastAsia="zh-CN" w:bidi="ar-SA"/>
        </w:rPr>
        <w:t>月</w:t>
      </w:r>
      <w:r>
        <w:rPr>
          <w:rFonts w:hint="eastAsia" w:ascii="宋体" w:hAnsi="宋体" w:eastAsia="宋体" w:cs="Times New Roman"/>
          <w:bCs/>
          <w:color w:val="auto"/>
          <w:kern w:val="2"/>
          <w:sz w:val="24"/>
          <w:szCs w:val="20"/>
          <w:highlight w:val="none"/>
          <w:u w:val="single"/>
          <w:lang w:val="en-US" w:eastAsia="zh-CN" w:bidi="ar-SA"/>
        </w:rPr>
        <w:t xml:space="preserve">    </w:t>
      </w:r>
      <w:r>
        <w:rPr>
          <w:rFonts w:hint="eastAsia" w:ascii="宋体" w:hAnsi="宋体" w:eastAsia="宋体" w:cs="Times New Roman"/>
          <w:bCs/>
          <w:color w:val="auto"/>
          <w:kern w:val="2"/>
          <w:sz w:val="24"/>
          <w:szCs w:val="20"/>
          <w:highlight w:val="none"/>
          <w:lang w:val="en-US" w:eastAsia="zh-CN" w:bidi="ar-SA"/>
        </w:rPr>
        <w:t>日。</w:t>
      </w:r>
    </w:p>
    <w:p w14:paraId="793B600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rPr>
          <w:rFonts w:ascii="宋体" w:hAnsi="宋体" w:eastAsia="宋体" w:cs="Times New Roman"/>
          <w:b/>
          <w:color w:val="auto"/>
          <w:kern w:val="2"/>
          <w:sz w:val="24"/>
          <w:szCs w:val="20"/>
          <w:highlight w:val="none"/>
          <w:lang w:val="en-US" w:eastAsia="zh-CN" w:bidi="ar-SA"/>
        </w:rPr>
      </w:pPr>
      <w:r>
        <w:rPr>
          <w:rFonts w:hint="eastAsia" w:ascii="宋体" w:hAnsi="宋体" w:eastAsia="宋体" w:cs="Times New Roman"/>
          <w:b/>
          <w:color w:val="auto"/>
          <w:kern w:val="2"/>
          <w:sz w:val="24"/>
          <w:szCs w:val="20"/>
          <w:highlight w:val="none"/>
          <w:lang w:val="en-US" w:eastAsia="zh-CN" w:bidi="ar-SA"/>
        </w:rPr>
        <w:t>7</w:t>
      </w:r>
      <w:r>
        <w:rPr>
          <w:rFonts w:ascii="宋体" w:hAnsi="宋体" w:eastAsia="宋体" w:cs="Times New Roman"/>
          <w:b/>
          <w:color w:val="auto"/>
          <w:kern w:val="2"/>
          <w:sz w:val="24"/>
          <w:szCs w:val="20"/>
          <w:highlight w:val="none"/>
          <w:lang w:val="en-US" w:eastAsia="zh-CN" w:bidi="ar-SA"/>
        </w:rPr>
        <w:t xml:space="preserve">. 由甲方提供的场地条件 </w:t>
      </w:r>
    </w:p>
    <w:p w14:paraId="1D48D94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auto"/>
          <w:kern w:val="0"/>
          <w:sz w:val="24"/>
          <w:szCs w:val="20"/>
          <w:highlight w:val="none"/>
          <w:lang w:val="en-US" w:eastAsia="zh-CN" w:bidi="ar-SA"/>
        </w:rPr>
      </w:pPr>
      <w:r>
        <w:rPr>
          <w:rFonts w:hint="eastAsia" w:ascii="宋体" w:hAnsi="宋体" w:eastAsia="宋体" w:cs="Times New Roman"/>
          <w:color w:val="auto"/>
          <w:kern w:val="0"/>
          <w:sz w:val="24"/>
          <w:szCs w:val="20"/>
          <w:highlight w:val="none"/>
          <w:lang w:val="en-US" w:eastAsia="zh-CN" w:bidi="ar-SA"/>
        </w:rPr>
        <w:t>7</w:t>
      </w:r>
      <w:r>
        <w:rPr>
          <w:rFonts w:ascii="宋体" w:hAnsi="宋体" w:eastAsia="宋体" w:cs="Times New Roman"/>
          <w:color w:val="auto"/>
          <w:kern w:val="0"/>
          <w:sz w:val="24"/>
          <w:szCs w:val="20"/>
          <w:highlight w:val="none"/>
          <w:lang w:val="en-US" w:eastAsia="zh-CN" w:bidi="ar-SA"/>
        </w:rPr>
        <w:t>.1 场地和公用设施</w:t>
      </w:r>
    </w:p>
    <w:p w14:paraId="30501FD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hint="default" w:ascii="宋体" w:hAnsi="宋体" w:eastAsia="宋体" w:cs="Times New Roman"/>
          <w:color w:val="auto"/>
          <w:kern w:val="0"/>
          <w:sz w:val="24"/>
          <w:szCs w:val="20"/>
          <w:highlight w:val="none"/>
          <w:lang w:val="en-US" w:eastAsia="zh-CN" w:bidi="ar-SA"/>
        </w:rPr>
      </w:pPr>
      <w:r>
        <w:rPr>
          <w:rFonts w:ascii="宋体" w:hAnsi="宋体" w:eastAsia="宋体" w:cs="Times New Roman"/>
          <w:color w:val="auto"/>
          <w:kern w:val="0"/>
          <w:sz w:val="24"/>
          <w:szCs w:val="20"/>
          <w:highlight w:val="none"/>
          <w:lang w:val="en-US" w:eastAsia="zh-CN" w:bidi="ar-SA"/>
        </w:rPr>
        <w:t>甲方在其场所内向</w:t>
      </w:r>
      <w:r>
        <w:rPr>
          <w:rFonts w:hint="eastAsia" w:ascii="宋体" w:hAnsi="宋体" w:eastAsia="宋体" w:cs="Times New Roman"/>
          <w:color w:val="auto"/>
          <w:kern w:val="0"/>
          <w:sz w:val="24"/>
          <w:szCs w:val="20"/>
          <w:highlight w:val="none"/>
          <w:lang w:val="en-US" w:eastAsia="zh-CN" w:bidi="ar-SA"/>
        </w:rPr>
        <w:t>乙方</w:t>
      </w:r>
      <w:r>
        <w:rPr>
          <w:rFonts w:ascii="宋体" w:hAnsi="宋体" w:eastAsia="宋体" w:cs="Times New Roman"/>
          <w:color w:val="auto"/>
          <w:kern w:val="0"/>
          <w:sz w:val="24"/>
          <w:szCs w:val="20"/>
          <w:highlight w:val="none"/>
          <w:lang w:val="en-US" w:eastAsia="zh-CN" w:bidi="ar-SA"/>
        </w:rPr>
        <w:t>提供管理服务所需的办公用房，上述场地</w:t>
      </w:r>
      <w:r>
        <w:rPr>
          <w:rFonts w:hint="eastAsia" w:ascii="宋体" w:hAnsi="宋体" w:eastAsia="宋体" w:cs="Times New Roman"/>
          <w:color w:val="auto"/>
          <w:kern w:val="0"/>
          <w:sz w:val="24"/>
          <w:szCs w:val="20"/>
          <w:highlight w:val="none"/>
          <w:lang w:val="en-US" w:eastAsia="zh-CN" w:bidi="ar-SA"/>
        </w:rPr>
        <w:t>水、电</w:t>
      </w:r>
      <w:r>
        <w:rPr>
          <w:rFonts w:ascii="宋体" w:hAnsi="宋体" w:eastAsia="宋体" w:cs="Times New Roman"/>
          <w:color w:val="auto"/>
          <w:kern w:val="0"/>
          <w:sz w:val="24"/>
          <w:szCs w:val="20"/>
          <w:highlight w:val="none"/>
          <w:lang w:val="en-US" w:eastAsia="zh-CN" w:bidi="ar-SA"/>
        </w:rPr>
        <w:t>均为甲方免费提供</w:t>
      </w:r>
      <w:r>
        <w:rPr>
          <w:rFonts w:hint="eastAsia" w:ascii="宋体" w:hAnsi="宋体" w:eastAsia="宋体" w:cs="Times New Roman"/>
          <w:color w:val="auto"/>
          <w:kern w:val="0"/>
          <w:sz w:val="24"/>
          <w:szCs w:val="20"/>
          <w:highlight w:val="none"/>
          <w:lang w:val="en-US" w:eastAsia="zh-CN" w:bidi="ar-SA"/>
        </w:rPr>
        <w:t>（仅限于满足乙方正常运送服务业务及管理之需）</w:t>
      </w:r>
      <w:r>
        <w:rPr>
          <w:rFonts w:ascii="宋体" w:hAnsi="宋体" w:eastAsia="宋体" w:cs="Times New Roman"/>
          <w:color w:val="auto"/>
          <w:kern w:val="0"/>
          <w:sz w:val="24"/>
          <w:szCs w:val="20"/>
          <w:highlight w:val="none"/>
          <w:lang w:val="en-US" w:eastAsia="zh-CN" w:bidi="ar-SA"/>
        </w:rPr>
        <w:t>。</w:t>
      </w:r>
      <w:r>
        <w:rPr>
          <w:rFonts w:hint="eastAsia" w:ascii="宋体" w:hAnsi="宋体" w:eastAsia="宋体" w:cs="Times New Roman"/>
          <w:color w:val="auto"/>
          <w:kern w:val="0"/>
          <w:sz w:val="24"/>
          <w:szCs w:val="20"/>
          <w:highlight w:val="none"/>
          <w:lang w:val="en-US" w:eastAsia="zh-CN" w:bidi="ar-SA"/>
        </w:rPr>
        <w:t>乙方</w:t>
      </w:r>
      <w:r>
        <w:rPr>
          <w:rFonts w:ascii="宋体" w:hAnsi="宋体" w:eastAsia="宋体" w:cs="Times New Roman"/>
          <w:color w:val="auto"/>
          <w:kern w:val="0"/>
          <w:sz w:val="24"/>
          <w:szCs w:val="20"/>
          <w:highlight w:val="none"/>
          <w:lang w:val="en-US" w:eastAsia="zh-CN" w:bidi="ar-SA"/>
        </w:rPr>
        <w:t>若在上述区域违法</w:t>
      </w:r>
      <w:r>
        <w:rPr>
          <w:rFonts w:hint="eastAsia" w:ascii="宋体" w:hAnsi="宋体" w:eastAsia="宋体" w:cs="Times New Roman"/>
          <w:color w:val="auto"/>
          <w:kern w:val="0"/>
          <w:sz w:val="24"/>
          <w:szCs w:val="20"/>
          <w:highlight w:val="none"/>
          <w:lang w:val="en-US" w:eastAsia="zh-CN" w:bidi="ar-SA"/>
        </w:rPr>
        <w:t>、违规、违约使</w:t>
      </w:r>
      <w:r>
        <w:rPr>
          <w:rFonts w:ascii="宋体" w:hAnsi="宋体" w:eastAsia="宋体" w:cs="Times New Roman"/>
          <w:color w:val="auto"/>
          <w:kern w:val="0"/>
          <w:sz w:val="24"/>
          <w:szCs w:val="20"/>
          <w:highlight w:val="none"/>
          <w:lang w:val="en-US" w:eastAsia="zh-CN" w:bidi="ar-SA"/>
        </w:rPr>
        <w:t>用水、电，甲方有权采取处罚措施</w:t>
      </w:r>
      <w:r>
        <w:rPr>
          <w:rFonts w:hint="eastAsia" w:ascii="宋体" w:hAnsi="宋体" w:eastAsia="宋体" w:cs="Times New Roman"/>
          <w:color w:val="auto"/>
          <w:kern w:val="0"/>
          <w:sz w:val="24"/>
          <w:szCs w:val="20"/>
          <w:highlight w:val="none"/>
          <w:lang w:val="en-US" w:eastAsia="zh-CN" w:bidi="ar-SA"/>
        </w:rPr>
        <w:t>，由此对甲方造成的损失，应当由乙方全部承担。</w:t>
      </w:r>
    </w:p>
    <w:p w14:paraId="4FB2EF39">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auto"/>
          <w:kern w:val="0"/>
          <w:sz w:val="24"/>
          <w:szCs w:val="20"/>
          <w:highlight w:val="none"/>
          <w:lang w:val="en-US" w:eastAsia="zh-CN" w:bidi="ar-SA"/>
        </w:rPr>
      </w:pPr>
      <w:r>
        <w:rPr>
          <w:rFonts w:hint="eastAsia" w:ascii="宋体" w:hAnsi="宋体" w:eastAsia="宋体" w:cs="Times New Roman"/>
          <w:color w:val="auto"/>
          <w:kern w:val="0"/>
          <w:sz w:val="24"/>
          <w:szCs w:val="20"/>
          <w:highlight w:val="none"/>
          <w:lang w:val="en-US" w:eastAsia="zh-CN" w:bidi="ar-SA"/>
        </w:rPr>
        <w:t>7</w:t>
      </w:r>
      <w:r>
        <w:rPr>
          <w:rFonts w:ascii="宋体" w:hAnsi="宋体" w:eastAsia="宋体" w:cs="Times New Roman"/>
          <w:color w:val="auto"/>
          <w:kern w:val="0"/>
          <w:sz w:val="24"/>
          <w:szCs w:val="20"/>
          <w:highlight w:val="none"/>
          <w:lang w:val="en-US" w:eastAsia="zh-CN" w:bidi="ar-SA"/>
        </w:rPr>
        <w:t>.2办公电话及网络</w:t>
      </w:r>
    </w:p>
    <w:p w14:paraId="537B9A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auto"/>
          <w:kern w:val="0"/>
          <w:sz w:val="24"/>
          <w:szCs w:val="20"/>
          <w:highlight w:val="none"/>
          <w:lang w:val="en-US" w:eastAsia="zh-CN" w:bidi="ar-SA"/>
        </w:rPr>
      </w:pPr>
      <w:r>
        <w:rPr>
          <w:rFonts w:ascii="宋体" w:hAnsi="宋体" w:eastAsia="宋体" w:cs="Times New Roman"/>
          <w:color w:val="auto"/>
          <w:kern w:val="0"/>
          <w:sz w:val="24"/>
          <w:szCs w:val="20"/>
          <w:highlight w:val="none"/>
          <w:lang w:val="en-US" w:eastAsia="zh-CN" w:bidi="ar-SA"/>
        </w:rPr>
        <w:t>甲方应提供保证</w:t>
      </w:r>
      <w:r>
        <w:rPr>
          <w:rFonts w:hint="eastAsia" w:ascii="宋体" w:hAnsi="宋体" w:eastAsia="宋体" w:cs="Times New Roman"/>
          <w:color w:val="auto"/>
          <w:kern w:val="0"/>
          <w:sz w:val="24"/>
          <w:szCs w:val="20"/>
          <w:highlight w:val="none"/>
          <w:lang w:val="en-US" w:eastAsia="zh-CN" w:bidi="ar-SA"/>
        </w:rPr>
        <w:t>乙方</w:t>
      </w:r>
      <w:r>
        <w:rPr>
          <w:rFonts w:ascii="宋体" w:hAnsi="宋体" w:eastAsia="宋体" w:cs="Times New Roman"/>
          <w:color w:val="auto"/>
          <w:kern w:val="0"/>
          <w:sz w:val="24"/>
          <w:szCs w:val="20"/>
          <w:highlight w:val="none"/>
          <w:lang w:val="en-US" w:eastAsia="zh-CN" w:bidi="ar-SA"/>
        </w:rPr>
        <w:t>正常服务所需的内部电话及网络。</w:t>
      </w:r>
    </w:p>
    <w:p w14:paraId="4F6C5DF7">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b/>
          <w:color w:val="auto"/>
          <w:sz w:val="24"/>
          <w:highlight w:val="none"/>
        </w:rPr>
      </w:pPr>
      <w:r>
        <w:rPr>
          <w:rFonts w:hint="eastAsia" w:ascii="宋体" w:hAnsi="宋体" w:eastAsia="宋体" w:cs="仿宋"/>
          <w:b/>
          <w:color w:val="auto"/>
          <w:sz w:val="24"/>
          <w:highlight w:val="none"/>
        </w:rPr>
        <w:t>8.服务内容与质量标准</w:t>
      </w:r>
    </w:p>
    <w:p w14:paraId="5C457135">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8.1服务内容</w:t>
      </w:r>
    </w:p>
    <w:p w14:paraId="429F8C84">
      <w:pPr>
        <w:keepNext w:val="0"/>
        <w:keepLines w:val="0"/>
        <w:pageBreakBefore w:val="0"/>
        <w:widowControl w:val="0"/>
        <w:kinsoku/>
        <w:wordWrap/>
        <w:overflowPunct/>
        <w:topLinePunct w:val="0"/>
        <w:autoSpaceDE/>
        <w:autoSpaceDN/>
        <w:bidi w:val="0"/>
        <w:adjustRightInd w:val="0"/>
        <w:snapToGrid w:val="0"/>
        <w:spacing w:line="360" w:lineRule="auto"/>
        <w:rPr>
          <w:rFonts w:ascii="宋体" w:hAnsi="宋体" w:eastAsia="宋体"/>
          <w:color w:val="auto"/>
          <w:highlight w:val="none"/>
        </w:rPr>
      </w:pPr>
      <w:r>
        <w:rPr>
          <w:rFonts w:hint="eastAsia" w:ascii="宋体" w:hAnsi="宋体" w:eastAsia="宋体" w:cs="仿宋"/>
          <w:color w:val="auto"/>
          <w:sz w:val="24"/>
          <w:highlight w:val="none"/>
        </w:rPr>
        <w:t>8.1.1负责特殊患者陪检、陪诊及转科服务。</w:t>
      </w:r>
    </w:p>
    <w:p w14:paraId="2C13D1AB">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8.1.2负责检验科标本运送。</w:t>
      </w:r>
    </w:p>
    <w:p w14:paraId="7EB1BFA6">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8.1.3负责24小时长期药品和临时药品的配送。</w:t>
      </w:r>
    </w:p>
    <w:p w14:paraId="1332FF62">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8.1.4负责总务物耗的配送，设备科一次性耗材的配送。</w:t>
      </w:r>
    </w:p>
    <w:p w14:paraId="31F2A7C8">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8.1.5负责医院内所有工作人员、病员用的被服、工作服、病员服等转运、更换、配送工作。</w:t>
      </w:r>
    </w:p>
    <w:p w14:paraId="169C37C4">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8.1.6</w:t>
      </w:r>
      <w:r>
        <w:rPr>
          <w:rFonts w:hint="eastAsia" w:ascii="宋体" w:hAnsi="宋体" w:eastAsia="宋体" w:cs="宋体"/>
          <w:color w:val="auto"/>
          <w:sz w:val="24"/>
          <w:highlight w:val="none"/>
        </w:rPr>
        <w:t>提供一套专用的智慧后勤运维信息化管理平台以保证本项目高效运转和管理，完成疫情防控相关工作任务。</w:t>
      </w:r>
    </w:p>
    <w:p w14:paraId="7E91DC62">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8.1.7负责全院所有科室归档病历收取及整理。</w:t>
      </w:r>
    </w:p>
    <w:p w14:paraId="6B09FCAD">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auto"/>
          <w:sz w:val="24"/>
          <w:highlight w:val="none"/>
        </w:rPr>
      </w:pPr>
      <w:r>
        <w:rPr>
          <w:rFonts w:hint="eastAsia" w:ascii="宋体" w:hAnsi="宋体" w:eastAsia="宋体" w:cs="仿宋"/>
          <w:color w:val="auto"/>
          <w:sz w:val="24"/>
          <w:highlight w:val="none"/>
        </w:rPr>
        <w:t>8.1.8配合医院做好迎接各类检查和突发性公共卫生事件等应急运送工作。</w:t>
      </w:r>
    </w:p>
    <w:p w14:paraId="7E00F882">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8.1.11按时参加医院相关职能部门工作例会和沟通协调座谈会。</w:t>
      </w:r>
    </w:p>
    <w:p w14:paraId="128C351B">
      <w:pPr>
        <w:keepNext w:val="0"/>
        <w:keepLines w:val="0"/>
        <w:pageBreakBefore w:val="0"/>
        <w:widowControl w:val="0"/>
        <w:kinsoku/>
        <w:wordWrap/>
        <w:overflowPunct/>
        <w:topLinePunct w:val="0"/>
        <w:autoSpaceDE/>
        <w:autoSpaceDN/>
        <w:bidi w:val="0"/>
        <w:adjustRightInd w:val="0"/>
        <w:snapToGrid w:val="0"/>
        <w:spacing w:line="360" w:lineRule="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8.1.12按照免赔照护相关政策要求,根据甲方需求配置合适驻科护理员,并按要求管理及培训。</w:t>
      </w:r>
    </w:p>
    <w:p w14:paraId="048C3F3B">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8.2、服务标准</w:t>
      </w:r>
    </w:p>
    <w:p w14:paraId="1E63ACCF">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1设立24小时的调度中心，以满足各科室的需求。</w:t>
      </w:r>
    </w:p>
    <w:p w14:paraId="6BA08434">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2物品运送工作按照科室计划，减少随机性，按照规定的时间、线路运送物资物品。</w:t>
      </w:r>
    </w:p>
    <w:p w14:paraId="0A9D3070">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3加强运送工作的核对措施，杜绝任何形式的失误，保证运送物品的安全。及时积极完成医护人员临时交办的工作。</w:t>
      </w:r>
    </w:p>
    <w:p w14:paraId="522FA49B">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4具备足够的应急措施和人员应对突发医疗紧急状况，服从院方安排，当紧急突发事件发生时，以最快速度调集大量人力赶赴现场进行支援。</w:t>
      </w:r>
    </w:p>
    <w:p w14:paraId="4F9192B3">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5运送准确率应达到100%，及时率应达到98%以上。</w:t>
      </w:r>
    </w:p>
    <w:p w14:paraId="3AEDCBA9">
      <w:pPr>
        <w:keepNext w:val="0"/>
        <w:keepLines w:val="0"/>
        <w:pageBreakBefore w:val="0"/>
        <w:widowControl w:val="0"/>
        <w:kinsoku/>
        <w:wordWrap/>
        <w:overflowPunct/>
        <w:topLinePunct w:val="0"/>
        <w:autoSpaceDE/>
        <w:autoSpaceDN/>
        <w:bidi w:val="0"/>
        <w:adjustRightInd w:val="0"/>
        <w:snapToGrid w:val="0"/>
        <w:spacing w:line="360" w:lineRule="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6工作人员按规范着装，仪表整洁、言谈举止符合医院规定，服务热情，态度和蔼，文明礼貌，为病员提供优质服务，及时响应临床需求。</w:t>
      </w:r>
    </w:p>
    <w:p w14:paraId="7F2783B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7应加强安全教育，运送服务人员在运送中注意安全，运送过程中，出现异常情况及时报告、并应急处置。</w:t>
      </w:r>
    </w:p>
    <w:p w14:paraId="0952EA9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8配送人员不能与患者及家属发生争执，不得向患者及家属索要或者接受礼物和小费。</w:t>
      </w:r>
    </w:p>
    <w:p w14:paraId="5D881DC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9配送人员不损坏、不丢失院方财物。正确使用运输工具，不得人为损坏。并每天按规范进行清洁消毒。</w:t>
      </w:r>
    </w:p>
    <w:p w14:paraId="30940B1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10工作出现差错不隐瞒，如实报告及时处理，尽最大努力减少对患者的人身损害及财产损失。</w:t>
      </w:r>
    </w:p>
    <w:p w14:paraId="2F28209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11运送调度中心全天为临床服务，</w:t>
      </w:r>
      <w:r>
        <w:rPr>
          <w:rFonts w:hint="eastAsia" w:ascii="宋体" w:hAnsi="宋体" w:cs="仿宋"/>
          <w:color w:val="000000"/>
          <w:sz w:val="24"/>
          <w:highlight w:val="none"/>
          <w:lang w:eastAsia="zh-CN"/>
        </w:rPr>
        <w:t>乙方</w:t>
      </w:r>
      <w:r>
        <w:rPr>
          <w:rFonts w:hint="eastAsia" w:ascii="宋体" w:hAnsi="宋体" w:eastAsia="宋体" w:cs="仿宋"/>
          <w:color w:val="000000"/>
          <w:sz w:val="24"/>
          <w:highlight w:val="none"/>
        </w:rPr>
        <w:t>应配备相应的通讯设施设备并保证通讯畅通，24小时无间断接受指派，并做好记录，不得无故停机造成工作秩序混乱。</w:t>
      </w:r>
    </w:p>
    <w:p w14:paraId="36B8849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12物品运送服务范围和对象包含全院所有部门、所有运送服务需完成当面清点及书面交接手续。</w:t>
      </w:r>
    </w:p>
    <w:p w14:paraId="519E53A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13协助完成医院指派的其他任务，主要包括（但不仅限于）：院内义诊、会场布置、院内宣传现场布置等。</w:t>
      </w:r>
    </w:p>
    <w:p w14:paraId="233BD35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color w:val="000000"/>
          <w:sz w:val="24"/>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14</w:t>
      </w:r>
      <w:r>
        <w:rPr>
          <w:rFonts w:hint="eastAsia" w:ascii="宋体" w:hAnsi="宋体" w:cs="仿宋"/>
          <w:color w:val="000000"/>
          <w:sz w:val="24"/>
          <w:highlight w:val="none"/>
          <w:lang w:eastAsia="zh-CN"/>
        </w:rPr>
        <w:t>乙方</w:t>
      </w:r>
      <w:r>
        <w:rPr>
          <w:rFonts w:hint="eastAsia" w:ascii="宋体" w:hAnsi="宋体" w:eastAsia="宋体" w:cs="仿宋"/>
          <w:color w:val="000000"/>
          <w:sz w:val="24"/>
          <w:highlight w:val="none"/>
        </w:rPr>
        <w:t>用工人员必须按照医院的管理要求，严格遵守相关的制度，若不服从管理或教育无效者，院方有权要求予以更换，并对</w:t>
      </w:r>
      <w:r>
        <w:rPr>
          <w:rFonts w:hint="eastAsia" w:ascii="宋体" w:hAnsi="宋体" w:cs="仿宋"/>
          <w:color w:val="000000"/>
          <w:sz w:val="24"/>
          <w:highlight w:val="none"/>
          <w:lang w:eastAsia="zh-CN"/>
        </w:rPr>
        <w:t>乙方</w:t>
      </w:r>
      <w:r>
        <w:rPr>
          <w:rFonts w:hint="eastAsia" w:ascii="宋体" w:hAnsi="宋体" w:eastAsia="宋体" w:cs="仿宋"/>
          <w:color w:val="000000"/>
          <w:sz w:val="24"/>
          <w:highlight w:val="none"/>
        </w:rPr>
        <w:t>予以处罚。</w:t>
      </w:r>
    </w:p>
    <w:p w14:paraId="0029B74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olor w:val="000000"/>
          <w:highlight w:val="none"/>
        </w:rPr>
      </w:pPr>
      <w:r>
        <w:rPr>
          <w:rFonts w:hint="eastAsia" w:ascii="宋体" w:hAnsi="宋体" w:eastAsia="宋体" w:cs="仿宋"/>
          <w:color w:val="000000"/>
          <w:sz w:val="24"/>
          <w:highlight w:val="none"/>
        </w:rPr>
        <w:t>8.</w:t>
      </w:r>
      <w:r>
        <w:rPr>
          <w:rFonts w:ascii="宋体" w:hAnsi="宋体" w:eastAsia="宋体" w:cs="仿宋"/>
          <w:color w:val="000000"/>
          <w:sz w:val="24"/>
          <w:highlight w:val="none"/>
        </w:rPr>
        <w:t>2.</w:t>
      </w:r>
      <w:r>
        <w:rPr>
          <w:rFonts w:hint="eastAsia" w:ascii="宋体" w:hAnsi="宋体" w:eastAsia="宋体" w:cs="仿宋"/>
          <w:color w:val="000000"/>
          <w:sz w:val="24"/>
          <w:highlight w:val="none"/>
        </w:rPr>
        <w:t>15每天按照医院约定时间下科室收取、清点、整理、检查登记标本、物资数量，严格按照约定进行分类、运送。按时将物资送达各科室，认真履行发放手续，经详细核对、检查记录方可发送，做到运送及时，数量准确无误，保证科室需要。</w:t>
      </w:r>
    </w:p>
    <w:p w14:paraId="4DE1409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仿宋"/>
          <w:b/>
          <w:color w:val="000000"/>
          <w:sz w:val="24"/>
          <w:highlight w:val="none"/>
        </w:rPr>
      </w:pPr>
      <w:r>
        <w:rPr>
          <w:rFonts w:hint="eastAsia" w:ascii="宋体" w:hAnsi="宋体" w:eastAsia="宋体" w:cs="仿宋"/>
          <w:b/>
          <w:color w:val="000000"/>
          <w:sz w:val="24"/>
          <w:highlight w:val="none"/>
        </w:rPr>
        <w:t>9.全院一站式信息化服务平台整体要求:</w:t>
      </w:r>
    </w:p>
    <w:p w14:paraId="7749B6E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olor w:val="000000"/>
          <w:sz w:val="24"/>
          <w:highlight w:val="none"/>
        </w:rPr>
      </w:pPr>
      <w:r>
        <w:rPr>
          <w:rFonts w:hint="eastAsia" w:ascii="宋体" w:hAnsi="宋体" w:eastAsia="宋体"/>
          <w:color w:val="000000"/>
          <w:sz w:val="24"/>
          <w:highlight w:val="none"/>
        </w:rPr>
        <w:t>9.1.平台服务的要求</w:t>
      </w:r>
    </w:p>
    <w:p w14:paraId="11882F1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olor w:val="000000"/>
          <w:sz w:val="24"/>
          <w:highlight w:val="none"/>
        </w:rPr>
      </w:pPr>
      <w:r>
        <w:rPr>
          <w:rFonts w:hint="eastAsia" w:ascii="宋体" w:hAnsi="宋体" w:eastAsia="宋体"/>
          <w:color w:val="000000"/>
          <w:sz w:val="24"/>
          <w:highlight w:val="none"/>
        </w:rPr>
        <w:t>9.1.1.将信息化管理与服务有效结合提升效能。通过接入管理方、医护人员、调度中心、运送员等各角色，以及PC、</w:t>
      </w:r>
      <w:r>
        <w:rPr>
          <w:rFonts w:hint="eastAsia" w:ascii="宋体" w:hAnsi="宋体"/>
          <w:color w:val="000000"/>
          <w:sz w:val="24"/>
          <w:highlight w:val="none"/>
          <w:lang w:val="en-US" w:eastAsia="zh-CN"/>
        </w:rPr>
        <w:t>PAD</w:t>
      </w:r>
      <w:r>
        <w:rPr>
          <w:rFonts w:hint="eastAsia" w:ascii="宋体" w:hAnsi="宋体" w:eastAsia="宋体"/>
          <w:color w:val="000000"/>
          <w:sz w:val="24"/>
          <w:highlight w:val="none"/>
        </w:rPr>
        <w:t>、手机客户端等多种终端，做到所有人事物无缝连接和一体化管理。</w:t>
      </w:r>
    </w:p>
    <w:p w14:paraId="1E1D841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olor w:val="000000"/>
          <w:sz w:val="24"/>
          <w:highlight w:val="none"/>
        </w:rPr>
      </w:pPr>
      <w:r>
        <w:rPr>
          <w:rFonts w:hint="eastAsia" w:ascii="宋体" w:hAnsi="宋体" w:eastAsia="宋体"/>
          <w:color w:val="000000"/>
          <w:sz w:val="24"/>
          <w:highlight w:val="none"/>
        </w:rPr>
        <w:t>9.1.2.可通过电脑、手机等信息化手段随时查看各项任务信息，统计各部门数据。随时监测任务数据，管控任务进程。通过系统可以统计分析各项任务指标，从而改善工作流程，提高工作效率，提升服务质量。</w:t>
      </w:r>
    </w:p>
    <w:p w14:paraId="1953282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olor w:val="000000"/>
          <w:sz w:val="24"/>
          <w:highlight w:val="none"/>
        </w:rPr>
      </w:pPr>
      <w:r>
        <w:rPr>
          <w:rFonts w:hint="eastAsia" w:ascii="宋体" w:hAnsi="宋体" w:eastAsia="宋体"/>
          <w:color w:val="000000"/>
          <w:sz w:val="24"/>
          <w:highlight w:val="none"/>
        </w:rPr>
        <w:t>9.1.3.平台信息化建设遵循开放性、先进性、集成性和可扩展性、安全性及经济性的原则，力求实现最佳的性能、价格比。同时为适应今后的技术发展，预留方便的扩展空间。</w:t>
      </w:r>
    </w:p>
    <w:p w14:paraId="1F830E5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olor w:val="FF0000"/>
          <w:sz w:val="24"/>
          <w:highlight w:val="none"/>
        </w:rPr>
      </w:pPr>
      <w:r>
        <w:rPr>
          <w:rFonts w:hint="eastAsia" w:ascii="宋体" w:hAnsi="宋体" w:eastAsia="宋体"/>
          <w:color w:val="000000"/>
          <w:sz w:val="24"/>
          <w:highlight w:val="none"/>
        </w:rPr>
        <w:t>9.</w:t>
      </w:r>
      <w:r>
        <w:rPr>
          <w:rFonts w:hint="eastAsia" w:ascii="宋体" w:hAnsi="宋体"/>
          <w:color w:val="000000"/>
          <w:sz w:val="24"/>
          <w:highlight w:val="none"/>
          <w:lang w:val="en-US" w:eastAsia="zh-CN"/>
        </w:rPr>
        <w:t>1.4.</w:t>
      </w:r>
      <w:r>
        <w:rPr>
          <w:rFonts w:hint="eastAsia" w:ascii="宋体" w:hAnsi="宋体" w:eastAsia="宋体"/>
          <w:color w:val="000000"/>
          <w:sz w:val="24"/>
          <w:highlight w:val="none"/>
        </w:rPr>
        <w:t>利用</w:t>
      </w:r>
      <w:r>
        <w:rPr>
          <w:rFonts w:hint="eastAsia" w:ascii="宋体" w:hAnsi="宋体"/>
          <w:color w:val="auto"/>
          <w:sz w:val="24"/>
          <w:highlight w:val="none"/>
          <w:lang w:val="en-US" w:eastAsia="zh-CN"/>
        </w:rPr>
        <w:t>现有的</w:t>
      </w:r>
      <w:r>
        <w:rPr>
          <w:rFonts w:hint="eastAsia" w:ascii="宋体" w:hAnsi="宋体" w:eastAsia="宋体"/>
          <w:color w:val="auto"/>
          <w:sz w:val="24"/>
          <w:highlight w:val="none"/>
        </w:rPr>
        <w:t>信</w:t>
      </w:r>
      <w:r>
        <w:rPr>
          <w:rFonts w:hint="eastAsia" w:ascii="宋体" w:hAnsi="宋体" w:eastAsia="宋体"/>
          <w:color w:val="000000"/>
          <w:sz w:val="24"/>
          <w:highlight w:val="none"/>
        </w:rPr>
        <w:t>息化手段协助医护人员完成病房病人陪检，药品运送，标本运送，一次性医用品运送，消毒包运送，病历运送，门诊急诊病人接送，手术室病人接送等的信息化服务平台。</w:t>
      </w:r>
    </w:p>
    <w:p w14:paraId="6AC7ABA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b/>
          <w:color w:val="000000"/>
          <w:kern w:val="2"/>
          <w:sz w:val="24"/>
          <w:szCs w:val="20"/>
          <w:highlight w:val="none"/>
          <w:lang w:val="en-US" w:eastAsia="zh-CN" w:bidi="ar-SA"/>
        </w:rPr>
      </w:pPr>
      <w:r>
        <w:rPr>
          <w:rFonts w:hint="eastAsia" w:ascii="宋体" w:hAnsi="宋体" w:eastAsia="宋体" w:cs="Times New Roman"/>
          <w:b/>
          <w:color w:val="000000"/>
          <w:kern w:val="2"/>
          <w:sz w:val="24"/>
          <w:szCs w:val="20"/>
          <w:highlight w:val="none"/>
          <w:lang w:val="en-US" w:eastAsia="zh-CN" w:bidi="ar-SA"/>
        </w:rPr>
        <w:t>10.安全责任</w:t>
      </w:r>
    </w:p>
    <w:p w14:paraId="7ED251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bCs/>
          <w:color w:val="auto"/>
          <w:kern w:val="2"/>
          <w:sz w:val="24"/>
          <w:szCs w:val="20"/>
          <w:highlight w:val="none"/>
          <w:lang w:val="en-US" w:eastAsia="zh-CN" w:bidi="ar-SA"/>
        </w:rPr>
      </w:pPr>
      <w:r>
        <w:rPr>
          <w:rFonts w:hint="eastAsia" w:ascii="宋体" w:hAnsi="宋体" w:eastAsia="宋体" w:cs="Times New Roman"/>
          <w:bCs/>
          <w:color w:val="000000"/>
          <w:kern w:val="2"/>
          <w:sz w:val="24"/>
          <w:szCs w:val="20"/>
          <w:highlight w:val="none"/>
          <w:lang w:val="en-US" w:eastAsia="zh-CN" w:bidi="ar-SA"/>
        </w:rPr>
        <w:t>乙方工作人员是乙方的劳动者，在履行本合同期间，乙方工作人员如果发生劳动争议均由乙方独立处理并承担全部责任，与甲方无关</w:t>
      </w:r>
      <w:r>
        <w:rPr>
          <w:rFonts w:hint="eastAsia" w:ascii="宋体" w:hAnsi="宋体" w:eastAsia="宋体" w:cs="Times New Roman"/>
          <w:bCs/>
          <w:color w:val="auto"/>
          <w:kern w:val="2"/>
          <w:sz w:val="24"/>
          <w:szCs w:val="20"/>
          <w:highlight w:val="none"/>
          <w:lang w:val="en-US" w:eastAsia="zh-CN" w:bidi="ar-SA"/>
        </w:rPr>
        <w:t>；若乙方工作人员因劳动争议向甲方主张权利（如申请劳动仲裁、诉讼），导致甲方产生损失（含律师费、诉讼费、商誉损失），乙方应全额赔偿。</w:t>
      </w:r>
    </w:p>
    <w:p w14:paraId="0F0180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bCs/>
          <w:color w:val="000000"/>
          <w:kern w:val="2"/>
          <w:sz w:val="24"/>
          <w:szCs w:val="20"/>
          <w:highlight w:val="none"/>
          <w:lang w:val="en-US" w:eastAsia="zh-CN" w:bidi="ar-SA"/>
        </w:rPr>
      </w:pPr>
      <w:r>
        <w:rPr>
          <w:rFonts w:hint="eastAsia" w:ascii="宋体" w:hAnsi="宋体" w:eastAsia="宋体" w:cs="Times New Roman"/>
          <w:bCs/>
          <w:color w:val="000000"/>
          <w:kern w:val="2"/>
          <w:sz w:val="24"/>
          <w:szCs w:val="20"/>
          <w:highlight w:val="none"/>
          <w:lang w:val="en-US" w:eastAsia="zh-CN" w:bidi="ar-SA"/>
        </w:rPr>
        <w:t>在履行本合同期间乙方工作人员侵害他人人身财产权或遭受他人侵权的，</w:t>
      </w:r>
      <w:r>
        <w:rPr>
          <w:rFonts w:hint="eastAsia" w:ascii="宋体" w:hAnsi="宋体" w:eastAsia="宋体" w:cs="Times New Roman"/>
          <w:bCs/>
          <w:color w:val="auto"/>
          <w:kern w:val="2"/>
          <w:sz w:val="24"/>
          <w:szCs w:val="20"/>
          <w:highlight w:val="none"/>
          <w:lang w:val="en-US" w:eastAsia="zh-CN" w:bidi="ar-SA"/>
        </w:rPr>
        <w:t>由乙方承担全部赔偿责任（包括但不限于医疗费、误工费、财产损失赔偿），与甲方无关，</w:t>
      </w:r>
      <w:r>
        <w:rPr>
          <w:rFonts w:hint="eastAsia" w:ascii="宋体" w:hAnsi="宋体" w:eastAsia="宋体" w:cs="Times New Roman"/>
          <w:bCs/>
          <w:color w:val="000000"/>
          <w:kern w:val="2"/>
          <w:sz w:val="24"/>
          <w:szCs w:val="20"/>
          <w:highlight w:val="none"/>
          <w:lang w:val="en-US" w:eastAsia="zh-CN" w:bidi="ar-SA"/>
        </w:rPr>
        <w:t>甲方可以协助乙方处理相关事宜。</w:t>
      </w:r>
    </w:p>
    <w:p w14:paraId="7A6AA2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b/>
          <w:color w:val="auto"/>
          <w:kern w:val="2"/>
          <w:sz w:val="24"/>
          <w:szCs w:val="20"/>
          <w:highlight w:val="none"/>
          <w:lang w:val="en-US" w:eastAsia="zh-CN" w:bidi="ar-SA"/>
        </w:rPr>
      </w:pPr>
      <w:r>
        <w:rPr>
          <w:rFonts w:hint="eastAsia" w:ascii="宋体" w:hAnsi="宋体" w:eastAsia="宋体" w:cs="Times New Roman"/>
          <w:bCs/>
          <w:color w:val="000000"/>
          <w:kern w:val="2"/>
          <w:sz w:val="24"/>
          <w:szCs w:val="20"/>
          <w:highlight w:val="none"/>
          <w:lang w:val="en-US" w:eastAsia="zh-CN" w:bidi="ar-SA"/>
        </w:rPr>
        <w:t>乙方工作人员在工作中应高度重视人员安全和消防安全，凡造成员工本人或他人伤、残、亡所产生的一切后果由乙方承担，甲方不负担任何责任。</w:t>
      </w:r>
      <w:r>
        <w:rPr>
          <w:rFonts w:hint="eastAsia" w:ascii="宋体" w:hAnsi="宋体" w:eastAsia="宋体" w:cs="Times New Roman"/>
          <w:bCs/>
          <w:color w:val="auto"/>
          <w:kern w:val="2"/>
          <w:sz w:val="24"/>
          <w:szCs w:val="20"/>
          <w:highlight w:val="none"/>
          <w:lang w:val="en-US" w:eastAsia="zh-CN" w:bidi="ar-SA"/>
        </w:rPr>
        <w:t>若因此导致甲方被牵连，乙方应赔偿甲方的全部损失。</w:t>
      </w:r>
    </w:p>
    <w:p w14:paraId="4402ED9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Times New Roman"/>
          <w:b/>
          <w:color w:val="000000"/>
          <w:kern w:val="2"/>
          <w:sz w:val="24"/>
          <w:szCs w:val="20"/>
          <w:highlight w:val="none"/>
          <w:lang w:val="en-US" w:eastAsia="zh-CN" w:bidi="ar-SA"/>
        </w:rPr>
      </w:pPr>
      <w:r>
        <w:rPr>
          <w:rFonts w:hint="eastAsia" w:ascii="宋体" w:hAnsi="宋体" w:eastAsia="宋体" w:cs="Times New Roman"/>
          <w:b/>
          <w:color w:val="000000"/>
          <w:kern w:val="2"/>
          <w:sz w:val="24"/>
          <w:szCs w:val="20"/>
          <w:highlight w:val="none"/>
          <w:lang w:val="en-US" w:eastAsia="zh-CN" w:bidi="ar-SA"/>
        </w:rPr>
        <w:t>11.应急预案</w:t>
      </w:r>
    </w:p>
    <w:p w14:paraId="7063E99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bCs/>
          <w:color w:val="auto"/>
          <w:kern w:val="2"/>
          <w:sz w:val="24"/>
          <w:szCs w:val="20"/>
          <w:highlight w:val="none"/>
          <w:lang w:val="en-US" w:eastAsia="zh-CN" w:bidi="ar-SA"/>
        </w:rPr>
      </w:pPr>
      <w:r>
        <w:rPr>
          <w:rFonts w:hint="eastAsia" w:ascii="宋体" w:hAnsi="宋体" w:eastAsia="宋体" w:cs="Times New Roman"/>
          <w:bCs/>
          <w:color w:val="000000"/>
          <w:kern w:val="2"/>
          <w:sz w:val="24"/>
          <w:szCs w:val="20"/>
          <w:highlight w:val="none"/>
          <w:lang w:val="en-US" w:eastAsia="zh-CN" w:bidi="ar-SA"/>
        </w:rPr>
        <w:t>11.1如遇某种突发因素导致部分员工集体辞职或罢工，乙方现场管理人员应及时向乙方上级部门汇报</w:t>
      </w:r>
      <w:r>
        <w:rPr>
          <w:rFonts w:hint="eastAsia" w:ascii="宋体" w:hAnsi="宋体" w:eastAsia="宋体" w:cs="Times New Roman"/>
          <w:bCs/>
          <w:color w:val="auto"/>
          <w:kern w:val="2"/>
          <w:sz w:val="24"/>
          <w:szCs w:val="20"/>
          <w:highlight w:val="none"/>
          <w:lang w:val="en-US" w:eastAsia="zh-CN" w:bidi="ar-SA"/>
        </w:rPr>
        <w:t>，同时</w:t>
      </w:r>
      <w:r>
        <w:rPr>
          <w:rFonts w:hint="eastAsia" w:ascii="宋体" w:hAnsi="宋体" w:eastAsia="宋体" w:cs="Times New Roman"/>
          <w:bCs/>
          <w:color w:val="auto"/>
          <w:kern w:val="2"/>
          <w:sz w:val="24"/>
          <w:szCs w:val="20"/>
          <w:highlight w:val="none"/>
          <w:u w:val="single"/>
          <w:lang w:val="en-US" w:eastAsia="zh-CN" w:bidi="ar-SA"/>
        </w:rPr>
        <w:t>1</w:t>
      </w:r>
      <w:r>
        <w:rPr>
          <w:rFonts w:hint="eastAsia" w:ascii="宋体" w:hAnsi="宋体" w:eastAsia="宋体" w:cs="Times New Roman"/>
          <w:bCs/>
          <w:color w:val="auto"/>
          <w:kern w:val="2"/>
          <w:sz w:val="24"/>
          <w:szCs w:val="20"/>
          <w:highlight w:val="none"/>
          <w:lang w:val="en-US" w:eastAsia="zh-CN" w:bidi="ar-SA"/>
        </w:rPr>
        <w:t>小时做好人员调动顶替等相应解决措施，保障各岗位工作完成，并汇报给甲方监管部门人员，若处理不力对甲方造成的不良影响和所有损失等，乙方应按合同总金额的</w:t>
      </w:r>
      <w:r>
        <w:rPr>
          <w:rFonts w:hint="eastAsia" w:ascii="宋体" w:hAnsi="宋体" w:eastAsia="宋体" w:cs="Times New Roman"/>
          <w:bCs/>
          <w:color w:val="auto"/>
          <w:kern w:val="2"/>
          <w:sz w:val="24"/>
          <w:szCs w:val="20"/>
          <w:highlight w:val="none"/>
          <w:u w:val="single"/>
          <w:lang w:val="en-US" w:eastAsia="zh-CN" w:bidi="ar-SA"/>
        </w:rPr>
        <w:t>15</w:t>
      </w:r>
      <w:r>
        <w:rPr>
          <w:rFonts w:hint="eastAsia" w:ascii="宋体" w:hAnsi="宋体" w:eastAsia="宋体" w:cs="Times New Roman"/>
          <w:bCs/>
          <w:color w:val="auto"/>
          <w:kern w:val="2"/>
          <w:sz w:val="24"/>
          <w:szCs w:val="20"/>
          <w:highlight w:val="none"/>
          <w:lang w:val="en-US" w:eastAsia="zh-CN" w:bidi="ar-SA"/>
        </w:rPr>
        <w:t>%向甲方支付违约金，且甲方有权终止协议，乙方还应赔偿甲方因此遭受的全部损失。</w:t>
      </w:r>
    </w:p>
    <w:p w14:paraId="09B39E5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Times New Roman"/>
          <w:bCs/>
          <w:color w:val="auto"/>
          <w:kern w:val="2"/>
          <w:sz w:val="24"/>
          <w:szCs w:val="20"/>
          <w:highlight w:val="none"/>
          <w:lang w:val="en-US" w:eastAsia="zh-CN" w:bidi="ar-SA"/>
        </w:rPr>
      </w:pPr>
      <w:r>
        <w:rPr>
          <w:rFonts w:hint="eastAsia" w:ascii="宋体" w:hAnsi="宋体" w:eastAsia="宋体" w:cs="Times New Roman"/>
          <w:bCs/>
          <w:color w:val="000000"/>
          <w:kern w:val="2"/>
          <w:sz w:val="24"/>
          <w:szCs w:val="20"/>
          <w:highlight w:val="none"/>
          <w:lang w:val="en-US" w:eastAsia="zh-CN" w:bidi="ar-SA"/>
        </w:rPr>
        <w:t>11.2 如果岗位出现其他突发事件，在岗位的工作人员及时报告项目管理人员，30分钟内组织协调解决并向乙方上级部门汇报</w:t>
      </w:r>
      <w:r>
        <w:rPr>
          <w:rFonts w:hint="eastAsia" w:ascii="宋体" w:hAnsi="宋体" w:eastAsia="宋体" w:cs="Times New Roman"/>
          <w:bCs/>
          <w:color w:val="auto"/>
          <w:kern w:val="2"/>
          <w:sz w:val="24"/>
          <w:szCs w:val="20"/>
          <w:highlight w:val="none"/>
          <w:lang w:val="en-US" w:eastAsia="zh-CN" w:bidi="ar-SA"/>
        </w:rPr>
        <w:t>，若乙方未在30分钟内响应或处理不当导致损失扩大，甲方有权扣减当月服务费的</w:t>
      </w:r>
      <w:r>
        <w:rPr>
          <w:rFonts w:hint="eastAsia" w:ascii="宋体" w:hAnsi="宋体" w:eastAsia="宋体" w:cs="Times New Roman"/>
          <w:bCs/>
          <w:color w:val="auto"/>
          <w:kern w:val="2"/>
          <w:sz w:val="24"/>
          <w:szCs w:val="20"/>
          <w:highlight w:val="none"/>
          <w:u w:val="single"/>
          <w:lang w:val="en-US" w:eastAsia="zh-CN" w:bidi="ar-SA"/>
        </w:rPr>
        <w:t>15</w:t>
      </w:r>
      <w:r>
        <w:rPr>
          <w:rFonts w:hint="eastAsia" w:ascii="宋体" w:hAnsi="宋体" w:eastAsia="宋体" w:cs="Times New Roman"/>
          <w:bCs/>
          <w:color w:val="auto"/>
          <w:kern w:val="2"/>
          <w:sz w:val="24"/>
          <w:szCs w:val="20"/>
          <w:highlight w:val="none"/>
          <w:u w:val="none"/>
          <w:lang w:val="en-US" w:eastAsia="zh-CN" w:bidi="ar-SA"/>
        </w:rPr>
        <w:t>%</w:t>
      </w:r>
      <w:r>
        <w:rPr>
          <w:rFonts w:hint="eastAsia" w:ascii="宋体" w:hAnsi="宋体" w:eastAsia="宋体" w:cs="Times New Roman"/>
          <w:bCs/>
          <w:color w:val="auto"/>
          <w:kern w:val="2"/>
          <w:sz w:val="24"/>
          <w:szCs w:val="20"/>
          <w:highlight w:val="none"/>
          <w:lang w:val="en-US" w:eastAsia="zh-CN" w:bidi="ar-SA"/>
        </w:rPr>
        <w:t>。</w:t>
      </w:r>
    </w:p>
    <w:p w14:paraId="24A521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rPr>
          <w:rFonts w:ascii="宋体" w:hAnsi="宋体" w:eastAsia="宋体" w:cs="Times New Roman"/>
          <w:bCs/>
          <w:color w:val="000000"/>
          <w:kern w:val="2"/>
          <w:sz w:val="24"/>
          <w:szCs w:val="20"/>
          <w:highlight w:val="none"/>
          <w:lang w:val="en-US" w:eastAsia="zh-CN" w:bidi="ar-SA"/>
        </w:rPr>
      </w:pPr>
      <w:r>
        <w:rPr>
          <w:rFonts w:hint="eastAsia" w:ascii="宋体" w:hAnsi="宋体" w:eastAsia="宋体" w:cs="Times New Roman"/>
          <w:bCs/>
          <w:color w:val="000000"/>
          <w:kern w:val="2"/>
          <w:sz w:val="24"/>
          <w:szCs w:val="20"/>
          <w:highlight w:val="none"/>
          <w:lang w:val="en-US" w:eastAsia="zh-CN" w:bidi="ar-SA"/>
        </w:rPr>
        <w:t>11.3 乙方应定期对员工进行消防安全知识培训，提高安全意识，掌握正确使用灭火器材的方法和技巧，能够引导疏散人群，保护人身和财产安全。</w:t>
      </w:r>
    </w:p>
    <w:p w14:paraId="63E8B1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rPr>
          <w:rFonts w:ascii="宋体" w:hAnsi="宋体" w:eastAsia="宋体" w:cs="Times New Roman"/>
          <w:bCs/>
          <w:color w:val="auto"/>
          <w:kern w:val="2"/>
          <w:sz w:val="24"/>
          <w:szCs w:val="20"/>
          <w:highlight w:val="none"/>
          <w:lang w:val="en-US" w:eastAsia="zh-CN" w:bidi="ar-SA"/>
        </w:rPr>
      </w:pPr>
      <w:r>
        <w:rPr>
          <w:rFonts w:hint="eastAsia" w:ascii="宋体" w:hAnsi="宋体" w:eastAsia="宋体" w:cs="Times New Roman"/>
          <w:bCs/>
          <w:color w:val="000000"/>
          <w:kern w:val="2"/>
          <w:sz w:val="24"/>
          <w:szCs w:val="20"/>
          <w:highlight w:val="none"/>
          <w:lang w:val="en-US" w:eastAsia="zh-CN" w:bidi="ar-SA"/>
        </w:rPr>
        <w:t>11.4 遇重大节日，重大活动，各种救灾抢险，突发疫情，公共卫生事件等突发情况时，乙方应服从甲方统一安排和要求，及时做好工作调整，保证工作任务完成</w:t>
      </w:r>
      <w:r>
        <w:rPr>
          <w:rFonts w:hint="eastAsia" w:ascii="宋体" w:hAnsi="宋体" w:eastAsia="宋体" w:cs="Times New Roman"/>
          <w:bCs/>
          <w:color w:val="auto"/>
          <w:kern w:val="2"/>
          <w:sz w:val="24"/>
          <w:szCs w:val="20"/>
          <w:highlight w:val="none"/>
          <w:lang w:val="en-US" w:eastAsia="zh-CN" w:bidi="ar-SA"/>
        </w:rPr>
        <w:t>。若乙方拒绝配合或未按要求执行，甲方有权扣减当月服务费的</w:t>
      </w:r>
      <w:r>
        <w:rPr>
          <w:rFonts w:hint="eastAsia" w:ascii="宋体" w:hAnsi="宋体" w:eastAsia="宋体" w:cs="Times New Roman"/>
          <w:bCs/>
          <w:color w:val="auto"/>
          <w:kern w:val="2"/>
          <w:sz w:val="24"/>
          <w:szCs w:val="20"/>
          <w:highlight w:val="none"/>
          <w:u w:val="single"/>
          <w:lang w:val="en-US" w:eastAsia="zh-CN" w:bidi="ar-SA"/>
        </w:rPr>
        <w:t>15</w:t>
      </w:r>
      <w:r>
        <w:rPr>
          <w:rFonts w:hint="eastAsia" w:ascii="宋体" w:hAnsi="宋体" w:eastAsia="宋体" w:cs="Times New Roman"/>
          <w:bCs/>
          <w:color w:val="auto"/>
          <w:kern w:val="2"/>
          <w:sz w:val="24"/>
          <w:szCs w:val="20"/>
          <w:highlight w:val="none"/>
          <w:u w:val="none"/>
          <w:lang w:val="en-US" w:eastAsia="zh-CN" w:bidi="ar-SA"/>
        </w:rPr>
        <w:t>%</w:t>
      </w:r>
      <w:r>
        <w:rPr>
          <w:rFonts w:hint="eastAsia" w:ascii="宋体" w:hAnsi="宋体" w:eastAsia="宋体" w:cs="Times New Roman"/>
          <w:bCs/>
          <w:color w:val="auto"/>
          <w:kern w:val="2"/>
          <w:sz w:val="24"/>
          <w:szCs w:val="20"/>
          <w:highlight w:val="none"/>
          <w:lang w:val="en-US" w:eastAsia="zh-CN" w:bidi="ar-SA"/>
        </w:rPr>
        <w:t>，且乙方应承担由此导致的甲方损失。</w:t>
      </w:r>
    </w:p>
    <w:p w14:paraId="003F5346">
      <w:pPr>
        <w:keepNext w:val="0"/>
        <w:keepLines w:val="0"/>
        <w:pageBreakBefore w:val="0"/>
        <w:widowControl w:val="0"/>
        <w:kinsoku/>
        <w:wordWrap/>
        <w:overflowPunct/>
        <w:topLinePunct w:val="0"/>
        <w:autoSpaceDE/>
        <w:autoSpaceDN/>
        <w:bidi w:val="0"/>
        <w:adjustRightInd w:val="0"/>
        <w:snapToGrid w:val="0"/>
        <w:spacing w:line="360" w:lineRule="auto"/>
        <w:jc w:val="both"/>
        <w:rPr>
          <w:rFonts w:ascii="宋体" w:hAnsi="宋体" w:eastAsia="宋体" w:cs="Times New Roman"/>
          <w:b/>
          <w:color w:val="000000"/>
          <w:kern w:val="2"/>
          <w:sz w:val="24"/>
          <w:szCs w:val="20"/>
          <w:highlight w:val="none"/>
          <w:lang w:val="en-US" w:eastAsia="zh-CN" w:bidi="ar-SA"/>
        </w:rPr>
      </w:pPr>
      <w:r>
        <w:rPr>
          <w:rFonts w:hint="eastAsia" w:ascii="宋体" w:hAnsi="宋体" w:eastAsia="宋体" w:cs="Times New Roman"/>
          <w:b/>
          <w:color w:val="000000"/>
          <w:kern w:val="2"/>
          <w:sz w:val="24"/>
          <w:szCs w:val="20"/>
          <w:highlight w:val="none"/>
          <w:lang w:val="en-US" w:eastAsia="zh-CN" w:bidi="ar-SA"/>
        </w:rPr>
        <w:t>12</w:t>
      </w:r>
      <w:r>
        <w:rPr>
          <w:rFonts w:ascii="宋体" w:hAnsi="宋体" w:eastAsia="宋体" w:cs="Times New Roman"/>
          <w:b/>
          <w:color w:val="000000"/>
          <w:kern w:val="2"/>
          <w:sz w:val="24"/>
          <w:szCs w:val="20"/>
          <w:highlight w:val="none"/>
          <w:lang w:val="en-US" w:eastAsia="zh-CN" w:bidi="ar-SA"/>
        </w:rPr>
        <w:t>. 执行检查</w:t>
      </w:r>
    </w:p>
    <w:p w14:paraId="38BC173F">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0"/>
          <w:highlight w:val="none"/>
          <w:lang w:val="en-US" w:eastAsia="zh-CN" w:bidi="ar-SA"/>
        </w:rPr>
        <w:t>12</w:t>
      </w:r>
      <w:r>
        <w:rPr>
          <w:rFonts w:ascii="宋体" w:hAnsi="宋体" w:eastAsia="宋体" w:cs="Times New Roman"/>
          <w:color w:val="000000"/>
          <w:kern w:val="0"/>
          <w:sz w:val="24"/>
          <w:szCs w:val="20"/>
          <w:highlight w:val="none"/>
          <w:lang w:val="en-US" w:eastAsia="zh-CN" w:bidi="ar-SA"/>
        </w:rPr>
        <w:t>.1</w:t>
      </w:r>
      <w:r>
        <w:rPr>
          <w:rFonts w:ascii="宋体" w:hAnsi="宋体" w:eastAsia="宋体" w:cs="Times New Roman"/>
          <w:color w:val="000000"/>
          <w:kern w:val="0"/>
          <w:sz w:val="24"/>
          <w:szCs w:val="24"/>
          <w:highlight w:val="none"/>
          <w:lang w:val="en-US" w:eastAsia="zh-CN" w:bidi="ar-SA"/>
        </w:rPr>
        <w:t>执行检查</w:t>
      </w:r>
    </w:p>
    <w:p w14:paraId="7A5D6D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双方代表应定期联合检查</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的管理服务履行情况和</w:t>
      </w:r>
      <w:r>
        <w:rPr>
          <w:rFonts w:hint="eastAsia" w:ascii="宋体" w:hAnsi="宋体" w:eastAsia="宋体" w:cs="Times New Roman"/>
          <w:color w:val="000000"/>
          <w:kern w:val="0"/>
          <w:sz w:val="24"/>
          <w:szCs w:val="24"/>
          <w:highlight w:val="none"/>
          <w:lang w:val="en-US" w:eastAsia="zh-CN" w:bidi="ar-SA"/>
        </w:rPr>
        <w:t>其他</w:t>
      </w:r>
      <w:r>
        <w:rPr>
          <w:rFonts w:ascii="宋体" w:hAnsi="宋体" w:eastAsia="宋体" w:cs="Times New Roman"/>
          <w:color w:val="000000"/>
          <w:kern w:val="0"/>
          <w:sz w:val="24"/>
          <w:szCs w:val="24"/>
          <w:highlight w:val="none"/>
          <w:lang w:val="en-US" w:eastAsia="zh-CN" w:bidi="ar-SA"/>
        </w:rPr>
        <w:t>相关事宜。</w:t>
      </w:r>
    </w:p>
    <w:p w14:paraId="5C397464">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12</w:t>
      </w:r>
      <w:r>
        <w:rPr>
          <w:rFonts w:ascii="宋体" w:hAnsi="宋体" w:eastAsia="宋体" w:cs="Times New Roman"/>
          <w:color w:val="000000"/>
          <w:kern w:val="0"/>
          <w:sz w:val="24"/>
          <w:szCs w:val="24"/>
          <w:highlight w:val="none"/>
          <w:lang w:val="en-US" w:eastAsia="zh-CN" w:bidi="ar-SA"/>
        </w:rPr>
        <w:t>.2质量考核</w:t>
      </w:r>
    </w:p>
    <w:p w14:paraId="1F85110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12.2.1</w:t>
      </w:r>
      <w:r>
        <w:rPr>
          <w:rFonts w:ascii="宋体" w:hAnsi="宋体" w:eastAsia="宋体" w:cs="Times New Roman"/>
          <w:color w:val="000000"/>
          <w:kern w:val="0"/>
          <w:sz w:val="24"/>
          <w:szCs w:val="24"/>
          <w:highlight w:val="none"/>
          <w:lang w:val="en-US" w:eastAsia="zh-CN" w:bidi="ar-SA"/>
        </w:rPr>
        <w:t>甲乙双方同意按附件</w:t>
      </w:r>
      <w:r>
        <w:rPr>
          <w:rFonts w:hint="eastAsia" w:ascii="宋体" w:hAnsi="宋体" w:eastAsia="宋体" w:cs="Times New Roman"/>
          <w:b/>
          <w:bCs/>
          <w:color w:val="000000"/>
          <w:kern w:val="0"/>
          <w:sz w:val="24"/>
          <w:szCs w:val="24"/>
          <w:highlight w:val="none"/>
          <w:lang w:val="en-US" w:eastAsia="zh-CN" w:bidi="ar-SA"/>
        </w:rPr>
        <w:t>C</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西安市第五医院患者服务管理中心</w:t>
      </w:r>
      <w:r>
        <w:rPr>
          <w:rFonts w:ascii="宋体" w:hAnsi="宋体" w:eastAsia="宋体" w:cs="Times New Roman"/>
          <w:color w:val="000000"/>
          <w:kern w:val="0"/>
          <w:sz w:val="24"/>
          <w:szCs w:val="24"/>
          <w:highlight w:val="none"/>
          <w:lang w:val="en-US" w:eastAsia="zh-CN" w:bidi="ar-SA"/>
        </w:rPr>
        <w:t>考核标准及考核办法》的要求对</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进行考核，低于</w:t>
      </w:r>
      <w:r>
        <w:rPr>
          <w:rFonts w:hint="eastAsia" w:ascii="宋体" w:hAnsi="宋体" w:eastAsia="宋体" w:cs="Times New Roman"/>
          <w:color w:val="000000"/>
          <w:kern w:val="0"/>
          <w:sz w:val="24"/>
          <w:szCs w:val="24"/>
          <w:highlight w:val="none"/>
          <w:lang w:val="en-US" w:eastAsia="zh-CN" w:bidi="ar-SA"/>
        </w:rPr>
        <w:t>90</w:t>
      </w:r>
      <w:r>
        <w:rPr>
          <w:rFonts w:ascii="宋体" w:hAnsi="宋体" w:eastAsia="宋体" w:cs="Times New Roman"/>
          <w:color w:val="000000"/>
          <w:kern w:val="0"/>
          <w:sz w:val="24"/>
          <w:szCs w:val="24"/>
          <w:highlight w:val="none"/>
          <w:lang w:val="en-US" w:eastAsia="zh-CN" w:bidi="ar-SA"/>
        </w:rPr>
        <w:t>分予以扣款，每低一分扣除当月服务费用的</w:t>
      </w:r>
      <w:r>
        <w:rPr>
          <w:rFonts w:hint="eastAsia" w:ascii="宋体" w:hAnsi="宋体" w:eastAsia="宋体" w:cs="Times New Roman"/>
          <w:color w:val="000000"/>
          <w:kern w:val="0"/>
          <w:sz w:val="24"/>
          <w:szCs w:val="24"/>
          <w:highlight w:val="none"/>
          <w:lang w:val="en-US" w:eastAsia="zh-CN" w:bidi="ar-SA"/>
        </w:rPr>
        <w:t>5</w:t>
      </w:r>
      <w:r>
        <w:rPr>
          <w:rFonts w:ascii="宋体" w:hAnsi="宋体" w:eastAsia="宋体" w:cs="Times New Roman"/>
          <w:color w:val="000000"/>
          <w:kern w:val="0"/>
          <w:sz w:val="24"/>
          <w:szCs w:val="24"/>
          <w:highlight w:val="none"/>
          <w:lang w:val="en-US" w:eastAsia="zh-CN" w:bidi="ar-SA"/>
        </w:rPr>
        <w:t>‰，所有扣款全部在当月甲方应付服务费用中扣除。连续三次</w:t>
      </w:r>
      <w:r>
        <w:rPr>
          <w:rFonts w:hint="eastAsia" w:ascii="宋体" w:hAnsi="宋体" w:eastAsia="宋体" w:cs="Times New Roman"/>
          <w:color w:val="000000"/>
          <w:kern w:val="0"/>
          <w:sz w:val="24"/>
          <w:szCs w:val="24"/>
          <w:highlight w:val="none"/>
          <w:lang w:val="en-US" w:eastAsia="zh-CN" w:bidi="ar-SA"/>
        </w:rPr>
        <w:t>考核低于90分</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甲方有权终止合同。如有违法乱纪严重影响甲方形象的、双方解除服务合同，并承担由此给甲方造成的各类损失费用。</w:t>
      </w:r>
    </w:p>
    <w:p w14:paraId="31E9817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12.2.2乙方服务不到位，造成甲方遭到投诉的，每次有效投诉甲方有权扣500-2000元罚金。</w:t>
      </w:r>
    </w:p>
    <w:p w14:paraId="4B08E549">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0"/>
          <w:highlight w:val="none"/>
          <w:u w:val="single"/>
          <w:lang w:val="en-US" w:eastAsia="zh-CN" w:bidi="ar-SA"/>
        </w:rPr>
      </w:pPr>
      <w:r>
        <w:rPr>
          <w:rFonts w:hint="eastAsia" w:ascii="宋体" w:hAnsi="宋体" w:eastAsia="宋体" w:cs="Times New Roman"/>
          <w:color w:val="000000"/>
          <w:kern w:val="0"/>
          <w:sz w:val="24"/>
          <w:szCs w:val="20"/>
          <w:highlight w:val="none"/>
          <w:lang w:val="en-US" w:eastAsia="zh-CN" w:bidi="ar-SA"/>
        </w:rPr>
        <w:t>12</w:t>
      </w:r>
      <w:r>
        <w:rPr>
          <w:rFonts w:ascii="宋体" w:hAnsi="宋体" w:eastAsia="宋体" w:cs="Times New Roman"/>
          <w:color w:val="000000"/>
          <w:kern w:val="0"/>
          <w:sz w:val="24"/>
          <w:szCs w:val="20"/>
          <w:highlight w:val="none"/>
          <w:lang w:val="en-US" w:eastAsia="zh-CN" w:bidi="ar-SA"/>
        </w:rPr>
        <w:t>.3考核方式</w:t>
      </w:r>
    </w:p>
    <w:p w14:paraId="286A3C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0"/>
          <w:highlight w:val="none"/>
          <w:lang w:val="en-US" w:eastAsia="zh-CN" w:bidi="ar-SA"/>
        </w:rPr>
      </w:pPr>
      <w:r>
        <w:rPr>
          <w:rFonts w:hint="eastAsia" w:ascii="宋体" w:hAnsi="宋体" w:eastAsia="宋体" w:cs="Times New Roman"/>
          <w:color w:val="000000"/>
          <w:kern w:val="0"/>
          <w:sz w:val="24"/>
          <w:szCs w:val="20"/>
          <w:highlight w:val="none"/>
          <w:lang w:val="en-US" w:eastAsia="zh-CN" w:bidi="ar-SA"/>
        </w:rPr>
        <w:t>12.3.1</w:t>
      </w:r>
      <w:r>
        <w:rPr>
          <w:rFonts w:ascii="宋体" w:hAnsi="宋体" w:eastAsia="宋体" w:cs="Times New Roman"/>
          <w:color w:val="000000"/>
          <w:kern w:val="0"/>
          <w:sz w:val="24"/>
          <w:szCs w:val="20"/>
          <w:highlight w:val="none"/>
          <w:lang w:val="en-US" w:eastAsia="zh-CN" w:bidi="ar-SA"/>
        </w:rPr>
        <w:t>每月由</w:t>
      </w:r>
      <w:r>
        <w:rPr>
          <w:rFonts w:hint="eastAsia" w:ascii="宋体" w:hAnsi="宋体" w:eastAsia="宋体" w:cs="Times New Roman"/>
          <w:color w:val="000000"/>
          <w:kern w:val="0"/>
          <w:sz w:val="24"/>
          <w:szCs w:val="20"/>
          <w:highlight w:val="none"/>
          <w:lang w:val="en-US" w:eastAsia="zh-CN" w:bidi="ar-SA"/>
        </w:rPr>
        <w:t>乙方发放（运行科室每科室2份）满意度调查表到不同科室进行满意度征询、根据征询综合得分确定当月考核分数。</w:t>
      </w:r>
    </w:p>
    <w:p w14:paraId="2C80E70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b/>
          <w:color w:val="000000"/>
          <w:kern w:val="0"/>
          <w:sz w:val="24"/>
          <w:szCs w:val="20"/>
          <w:highlight w:val="none"/>
          <w:lang w:val="en-US" w:eastAsia="zh-CN" w:bidi="ar-SA"/>
        </w:rPr>
      </w:pPr>
      <w:r>
        <w:rPr>
          <w:rFonts w:hint="eastAsia" w:ascii="宋体" w:hAnsi="宋体" w:eastAsia="宋体" w:cs="Times New Roman"/>
          <w:color w:val="000000"/>
          <w:kern w:val="0"/>
          <w:sz w:val="24"/>
          <w:szCs w:val="20"/>
          <w:highlight w:val="none"/>
          <w:lang w:val="en-US" w:eastAsia="zh-CN" w:bidi="ar-SA"/>
        </w:rPr>
        <w:t>12.3.2其他考核方式详见附表B 执行。</w:t>
      </w:r>
    </w:p>
    <w:p w14:paraId="15790E89">
      <w:pPr>
        <w:keepNext w:val="0"/>
        <w:keepLines w:val="0"/>
        <w:pageBreakBefore w:val="0"/>
        <w:widowControl w:val="0"/>
        <w:kinsoku/>
        <w:wordWrap/>
        <w:overflowPunct/>
        <w:topLinePunct w:val="0"/>
        <w:autoSpaceDE/>
        <w:autoSpaceDN/>
        <w:bidi w:val="0"/>
        <w:adjustRightInd w:val="0"/>
        <w:snapToGrid w:val="0"/>
        <w:spacing w:line="360" w:lineRule="auto"/>
        <w:jc w:val="both"/>
        <w:rPr>
          <w:rFonts w:ascii="宋体" w:hAnsi="宋体" w:eastAsia="宋体" w:cs="Times New Roman"/>
          <w:b/>
          <w:color w:val="000000"/>
          <w:kern w:val="2"/>
          <w:sz w:val="24"/>
          <w:szCs w:val="20"/>
          <w:highlight w:val="none"/>
          <w:lang w:val="en-US" w:eastAsia="zh-CN" w:bidi="ar-SA"/>
        </w:rPr>
      </w:pPr>
      <w:r>
        <w:rPr>
          <w:rFonts w:ascii="宋体" w:hAnsi="宋体" w:eastAsia="宋体" w:cs="Times New Roman"/>
          <w:b/>
          <w:color w:val="000000"/>
          <w:kern w:val="2"/>
          <w:sz w:val="24"/>
          <w:szCs w:val="20"/>
          <w:highlight w:val="none"/>
          <w:lang w:val="en-US" w:eastAsia="zh-CN" w:bidi="ar-SA"/>
        </w:rPr>
        <w:t>1</w:t>
      </w:r>
      <w:r>
        <w:rPr>
          <w:rFonts w:hint="eastAsia" w:ascii="宋体" w:hAnsi="宋体" w:eastAsia="宋体" w:cs="Times New Roman"/>
          <w:b/>
          <w:color w:val="000000"/>
          <w:kern w:val="2"/>
          <w:sz w:val="24"/>
          <w:szCs w:val="20"/>
          <w:highlight w:val="none"/>
          <w:lang w:val="en-US" w:eastAsia="zh-CN" w:bidi="ar-SA"/>
        </w:rPr>
        <w:t>3</w:t>
      </w:r>
      <w:r>
        <w:rPr>
          <w:rFonts w:ascii="宋体" w:hAnsi="宋体" w:eastAsia="宋体" w:cs="Times New Roman"/>
          <w:b/>
          <w:color w:val="000000"/>
          <w:kern w:val="2"/>
          <w:sz w:val="24"/>
          <w:szCs w:val="20"/>
          <w:highlight w:val="none"/>
          <w:lang w:val="en-US" w:eastAsia="zh-CN" w:bidi="ar-SA"/>
        </w:rPr>
        <w:t>. 协议终止</w:t>
      </w:r>
    </w:p>
    <w:p w14:paraId="5B3B42FA">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0"/>
          <w:highlight w:val="none"/>
          <w:lang w:val="en-US" w:eastAsia="zh-CN" w:bidi="ar-SA"/>
        </w:rPr>
        <w:t>1</w:t>
      </w:r>
      <w:r>
        <w:rPr>
          <w:rFonts w:hint="eastAsia" w:ascii="宋体" w:hAnsi="宋体" w:eastAsia="宋体" w:cs="Times New Roman"/>
          <w:color w:val="000000"/>
          <w:kern w:val="0"/>
          <w:sz w:val="24"/>
          <w:szCs w:val="20"/>
          <w:highlight w:val="none"/>
          <w:lang w:val="en-US" w:eastAsia="zh-CN" w:bidi="ar-SA"/>
        </w:rPr>
        <w:t>3</w:t>
      </w:r>
      <w:r>
        <w:rPr>
          <w:rFonts w:ascii="宋体" w:hAnsi="宋体" w:eastAsia="宋体" w:cs="Times New Roman"/>
          <w:color w:val="000000"/>
          <w:kern w:val="0"/>
          <w:sz w:val="24"/>
          <w:szCs w:val="20"/>
          <w:highlight w:val="none"/>
          <w:lang w:val="en-US" w:eastAsia="zh-CN" w:bidi="ar-SA"/>
        </w:rPr>
        <w:t>.1</w:t>
      </w:r>
      <w:r>
        <w:rPr>
          <w:rFonts w:ascii="宋体" w:hAnsi="宋体" w:eastAsia="宋体" w:cs="Times New Roman"/>
          <w:color w:val="000000"/>
          <w:kern w:val="0"/>
          <w:sz w:val="24"/>
          <w:szCs w:val="24"/>
          <w:highlight w:val="none"/>
          <w:lang w:val="en-US" w:eastAsia="zh-CN" w:bidi="ar-SA"/>
        </w:rPr>
        <w:t>违约通知、宽限期、终止</w:t>
      </w:r>
    </w:p>
    <w:p w14:paraId="31C423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如果</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违反其在本协议项下的一项或多项义务，</w:t>
      </w:r>
      <w:r>
        <w:rPr>
          <w:rFonts w:hint="eastAsia" w:ascii="宋体" w:hAnsi="宋体" w:eastAsia="宋体" w:cs="Times New Roman"/>
          <w:color w:val="000000"/>
          <w:kern w:val="0"/>
          <w:sz w:val="24"/>
          <w:szCs w:val="24"/>
          <w:highlight w:val="none"/>
          <w:lang w:val="en-US" w:eastAsia="zh-CN" w:bidi="ar-SA"/>
        </w:rPr>
        <w:t>甲方</w:t>
      </w:r>
      <w:r>
        <w:rPr>
          <w:rFonts w:ascii="宋体" w:hAnsi="宋体" w:eastAsia="宋体" w:cs="Times New Roman"/>
          <w:color w:val="000000"/>
          <w:kern w:val="0"/>
          <w:sz w:val="24"/>
          <w:szCs w:val="24"/>
          <w:highlight w:val="none"/>
          <w:lang w:val="en-US" w:eastAsia="zh-CN" w:bidi="ar-SA"/>
        </w:rPr>
        <w:t>应</w:t>
      </w:r>
      <w:r>
        <w:rPr>
          <w:rFonts w:hint="eastAsia" w:ascii="宋体" w:hAnsi="宋体" w:eastAsia="宋体" w:cs="Times New Roman"/>
          <w:color w:val="000000"/>
          <w:kern w:val="0"/>
          <w:sz w:val="24"/>
          <w:szCs w:val="24"/>
          <w:highlight w:val="none"/>
          <w:lang w:val="en-US" w:eastAsia="zh-CN" w:bidi="ar-SA"/>
        </w:rPr>
        <w:t>书面</w:t>
      </w:r>
      <w:r>
        <w:rPr>
          <w:rFonts w:ascii="宋体" w:hAnsi="宋体" w:eastAsia="宋体" w:cs="Times New Roman"/>
          <w:color w:val="000000"/>
          <w:kern w:val="0"/>
          <w:sz w:val="24"/>
          <w:szCs w:val="24"/>
          <w:highlight w:val="none"/>
          <w:lang w:val="en-US" w:eastAsia="zh-CN" w:bidi="ar-SA"/>
        </w:rPr>
        <w:t>通知</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并指出违约</w:t>
      </w:r>
      <w:r>
        <w:rPr>
          <w:rFonts w:hint="eastAsia" w:ascii="宋体" w:hAnsi="宋体" w:eastAsia="宋体" w:cs="Times New Roman"/>
          <w:color w:val="000000"/>
          <w:kern w:val="0"/>
          <w:sz w:val="24"/>
          <w:szCs w:val="24"/>
          <w:highlight w:val="none"/>
          <w:lang w:val="en-US" w:eastAsia="zh-CN" w:bidi="ar-SA"/>
        </w:rPr>
        <w:t>事项</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应自收到该通知起30天内就通知的违约事宜予以</w:t>
      </w:r>
      <w:r>
        <w:rPr>
          <w:rFonts w:hint="eastAsia" w:ascii="宋体" w:hAnsi="宋体" w:eastAsia="宋体" w:cs="Times New Roman"/>
          <w:color w:val="000000"/>
          <w:kern w:val="0"/>
          <w:sz w:val="24"/>
          <w:szCs w:val="24"/>
          <w:highlight w:val="none"/>
          <w:lang w:val="en-US" w:eastAsia="zh-CN" w:bidi="ar-SA"/>
        </w:rPr>
        <w:t>整改</w:t>
      </w:r>
      <w:r>
        <w:rPr>
          <w:rFonts w:ascii="宋体" w:hAnsi="宋体" w:eastAsia="宋体" w:cs="Times New Roman"/>
          <w:color w:val="000000"/>
          <w:kern w:val="0"/>
          <w:sz w:val="24"/>
          <w:szCs w:val="24"/>
          <w:highlight w:val="none"/>
          <w:lang w:val="en-US" w:eastAsia="zh-CN" w:bidi="ar-SA"/>
        </w:rPr>
        <w:t>补救。如果</w:t>
      </w:r>
      <w:r>
        <w:rPr>
          <w:rFonts w:hint="eastAsia" w:ascii="宋体" w:hAnsi="宋体" w:eastAsia="宋体" w:cs="Times New Roman"/>
          <w:color w:val="000000"/>
          <w:kern w:val="0"/>
          <w:sz w:val="24"/>
          <w:szCs w:val="24"/>
          <w:highlight w:val="none"/>
          <w:lang w:val="en-US" w:eastAsia="zh-CN" w:bidi="ar-SA"/>
        </w:rPr>
        <w:t>乙方接到甲方书面</w:t>
      </w:r>
      <w:r>
        <w:rPr>
          <w:rFonts w:ascii="宋体" w:hAnsi="宋体" w:eastAsia="宋体" w:cs="Times New Roman"/>
          <w:color w:val="000000"/>
          <w:kern w:val="0"/>
          <w:sz w:val="24"/>
          <w:szCs w:val="24"/>
          <w:highlight w:val="none"/>
          <w:lang w:val="en-US" w:eastAsia="zh-CN" w:bidi="ar-SA"/>
        </w:rPr>
        <w:t>通知30天后违约</w:t>
      </w:r>
      <w:r>
        <w:rPr>
          <w:rFonts w:hint="eastAsia" w:ascii="宋体" w:hAnsi="宋体" w:eastAsia="宋体" w:cs="Times New Roman"/>
          <w:color w:val="000000"/>
          <w:kern w:val="0"/>
          <w:sz w:val="24"/>
          <w:szCs w:val="24"/>
          <w:highlight w:val="none"/>
          <w:lang w:val="en-US" w:eastAsia="zh-CN" w:bidi="ar-SA"/>
        </w:rPr>
        <w:t>行为</w:t>
      </w:r>
      <w:r>
        <w:rPr>
          <w:rFonts w:ascii="宋体" w:hAnsi="宋体" w:eastAsia="宋体" w:cs="Times New Roman"/>
          <w:color w:val="000000"/>
          <w:kern w:val="0"/>
          <w:sz w:val="24"/>
          <w:szCs w:val="24"/>
          <w:highlight w:val="none"/>
          <w:lang w:val="en-US" w:eastAsia="zh-CN" w:bidi="ar-SA"/>
        </w:rPr>
        <w:t>仍未纠正，</w:t>
      </w:r>
      <w:r>
        <w:rPr>
          <w:rFonts w:hint="eastAsia" w:ascii="宋体" w:hAnsi="宋体" w:eastAsia="宋体" w:cs="Times New Roman"/>
          <w:color w:val="000000"/>
          <w:kern w:val="0"/>
          <w:sz w:val="24"/>
          <w:szCs w:val="24"/>
          <w:highlight w:val="none"/>
          <w:lang w:val="en-US" w:eastAsia="zh-CN" w:bidi="ar-SA"/>
        </w:rPr>
        <w:t>或者</w:t>
      </w:r>
      <w:r>
        <w:rPr>
          <w:rFonts w:ascii="宋体" w:hAnsi="宋体" w:eastAsia="宋体" w:cs="Times New Roman"/>
          <w:color w:val="000000"/>
          <w:kern w:val="0"/>
          <w:sz w:val="24"/>
          <w:szCs w:val="24"/>
          <w:highlight w:val="none"/>
          <w:lang w:val="en-US" w:eastAsia="zh-CN" w:bidi="ar-SA"/>
        </w:rPr>
        <w:t>给</w:t>
      </w:r>
      <w:r>
        <w:rPr>
          <w:rFonts w:hint="eastAsia" w:ascii="宋体" w:hAnsi="宋体" w:eastAsia="宋体" w:cs="Times New Roman"/>
          <w:color w:val="000000"/>
          <w:kern w:val="0"/>
          <w:sz w:val="24"/>
          <w:szCs w:val="24"/>
          <w:highlight w:val="none"/>
          <w:lang w:val="en-US" w:eastAsia="zh-CN" w:bidi="ar-SA"/>
        </w:rPr>
        <w:t>甲方</w:t>
      </w:r>
      <w:r>
        <w:rPr>
          <w:rFonts w:ascii="宋体" w:hAnsi="宋体" w:eastAsia="宋体" w:cs="Times New Roman"/>
          <w:color w:val="000000"/>
          <w:kern w:val="0"/>
          <w:sz w:val="24"/>
          <w:szCs w:val="24"/>
          <w:highlight w:val="none"/>
          <w:lang w:val="en-US" w:eastAsia="zh-CN" w:bidi="ar-SA"/>
        </w:rPr>
        <w:t>造成重大损失的，</w:t>
      </w:r>
      <w:r>
        <w:rPr>
          <w:rFonts w:hint="eastAsia" w:ascii="宋体" w:hAnsi="宋体" w:eastAsia="宋体" w:cs="Times New Roman"/>
          <w:color w:val="000000"/>
          <w:kern w:val="0"/>
          <w:sz w:val="24"/>
          <w:szCs w:val="24"/>
          <w:highlight w:val="none"/>
          <w:lang w:val="en-US" w:eastAsia="zh-CN" w:bidi="ar-SA"/>
        </w:rPr>
        <w:t>甲方</w:t>
      </w:r>
      <w:r>
        <w:rPr>
          <w:rFonts w:ascii="宋体" w:hAnsi="宋体" w:eastAsia="宋体" w:cs="Times New Roman"/>
          <w:color w:val="000000"/>
          <w:kern w:val="0"/>
          <w:sz w:val="24"/>
          <w:szCs w:val="24"/>
          <w:highlight w:val="none"/>
          <w:lang w:val="en-US" w:eastAsia="zh-CN" w:bidi="ar-SA"/>
        </w:rPr>
        <w:t>可书面通知</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终止本协议，</w:t>
      </w:r>
      <w:r>
        <w:rPr>
          <w:rFonts w:hint="eastAsia" w:ascii="宋体" w:hAnsi="宋体" w:eastAsia="宋体" w:cs="Times New Roman"/>
          <w:color w:val="000000"/>
          <w:kern w:val="0"/>
          <w:sz w:val="24"/>
          <w:szCs w:val="24"/>
          <w:highlight w:val="none"/>
          <w:lang w:val="en-US" w:eastAsia="zh-CN" w:bidi="ar-SA"/>
        </w:rPr>
        <w:t>乙方自收到该通知之日起应向甲方办理终止协议的相关手续，</w:t>
      </w:r>
      <w:r>
        <w:rPr>
          <w:rFonts w:ascii="宋体" w:hAnsi="宋体" w:eastAsia="宋体" w:cs="Times New Roman"/>
          <w:color w:val="000000"/>
          <w:kern w:val="0"/>
          <w:sz w:val="24"/>
          <w:szCs w:val="24"/>
          <w:highlight w:val="none"/>
          <w:lang w:val="en-US" w:eastAsia="zh-CN" w:bidi="ar-SA"/>
        </w:rPr>
        <w:t>在</w:t>
      </w:r>
      <w:r>
        <w:rPr>
          <w:rFonts w:hint="eastAsia" w:ascii="宋体" w:hAnsi="宋体" w:eastAsia="宋体" w:cs="Times New Roman"/>
          <w:color w:val="000000"/>
          <w:kern w:val="0"/>
          <w:sz w:val="24"/>
          <w:szCs w:val="24"/>
          <w:highlight w:val="none"/>
          <w:lang w:val="en-US" w:eastAsia="zh-CN" w:bidi="ar-SA"/>
        </w:rPr>
        <w:t>收到</w:t>
      </w:r>
      <w:r>
        <w:rPr>
          <w:rFonts w:ascii="宋体" w:hAnsi="宋体" w:eastAsia="宋体" w:cs="Times New Roman"/>
          <w:color w:val="000000"/>
          <w:kern w:val="0"/>
          <w:sz w:val="24"/>
          <w:szCs w:val="24"/>
          <w:highlight w:val="none"/>
          <w:lang w:val="en-US" w:eastAsia="zh-CN" w:bidi="ar-SA"/>
        </w:rPr>
        <w:t>终止协议书面通知</w:t>
      </w:r>
      <w:r>
        <w:rPr>
          <w:rFonts w:hint="eastAsia" w:ascii="宋体" w:hAnsi="宋体" w:eastAsia="宋体" w:cs="Times New Roman"/>
          <w:color w:val="000000"/>
          <w:kern w:val="0"/>
          <w:sz w:val="24"/>
          <w:szCs w:val="24"/>
          <w:highlight w:val="none"/>
          <w:lang w:val="en-US" w:eastAsia="zh-CN" w:bidi="ar-SA"/>
        </w:rPr>
        <w:t>之日起</w:t>
      </w:r>
      <w:r>
        <w:rPr>
          <w:rFonts w:ascii="宋体" w:hAnsi="宋体" w:eastAsia="宋体" w:cs="Times New Roman"/>
          <w:color w:val="000000"/>
          <w:kern w:val="0"/>
          <w:sz w:val="24"/>
          <w:szCs w:val="24"/>
          <w:highlight w:val="none"/>
          <w:lang w:val="en-US" w:eastAsia="zh-CN" w:bidi="ar-SA"/>
        </w:rPr>
        <w:t>本协议终止，</w:t>
      </w:r>
      <w:r>
        <w:rPr>
          <w:rFonts w:hint="eastAsia" w:ascii="宋体" w:hAnsi="宋体" w:eastAsia="宋体" w:cs="Times New Roman"/>
          <w:color w:val="000000"/>
          <w:kern w:val="0"/>
          <w:sz w:val="24"/>
          <w:szCs w:val="24"/>
          <w:highlight w:val="none"/>
          <w:lang w:val="en-US" w:eastAsia="zh-CN" w:bidi="ar-SA"/>
        </w:rPr>
        <w:t>双</w:t>
      </w:r>
      <w:r>
        <w:rPr>
          <w:rFonts w:ascii="宋体" w:hAnsi="宋体" w:eastAsia="宋体" w:cs="Times New Roman"/>
          <w:color w:val="000000"/>
          <w:kern w:val="0"/>
          <w:sz w:val="24"/>
          <w:szCs w:val="24"/>
          <w:highlight w:val="none"/>
          <w:lang w:val="en-US" w:eastAsia="zh-CN" w:bidi="ar-SA"/>
        </w:rPr>
        <w:t>方</w:t>
      </w:r>
      <w:r>
        <w:rPr>
          <w:rFonts w:hint="eastAsia" w:ascii="宋体" w:hAnsi="宋体" w:eastAsia="宋体" w:cs="Times New Roman"/>
          <w:color w:val="000000"/>
          <w:kern w:val="0"/>
          <w:sz w:val="24"/>
          <w:szCs w:val="24"/>
          <w:highlight w:val="none"/>
          <w:lang w:val="en-US" w:eastAsia="zh-CN" w:bidi="ar-SA"/>
        </w:rPr>
        <w:t>不再</w:t>
      </w:r>
      <w:r>
        <w:rPr>
          <w:rFonts w:ascii="宋体" w:hAnsi="宋体" w:eastAsia="宋体" w:cs="Times New Roman"/>
          <w:color w:val="000000"/>
          <w:kern w:val="0"/>
          <w:sz w:val="24"/>
          <w:szCs w:val="24"/>
          <w:highlight w:val="none"/>
          <w:lang w:val="en-US" w:eastAsia="zh-CN" w:bidi="ar-SA"/>
        </w:rPr>
        <w:t>履行其在本协议项下的责任。</w:t>
      </w:r>
    </w:p>
    <w:p w14:paraId="20754FD8">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3</w:t>
      </w:r>
      <w:r>
        <w:rPr>
          <w:rFonts w:ascii="宋体" w:hAnsi="宋体" w:eastAsia="宋体" w:cs="Times New Roman"/>
          <w:color w:val="000000"/>
          <w:kern w:val="0"/>
          <w:sz w:val="24"/>
          <w:szCs w:val="24"/>
          <w:highlight w:val="none"/>
          <w:lang w:val="en-US" w:eastAsia="zh-CN" w:bidi="ar-SA"/>
        </w:rPr>
        <w:t>.2终止的后果</w:t>
      </w:r>
    </w:p>
    <w:p w14:paraId="235D914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auto"/>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本协议的终止不应免除甲方在终止日或之前存在的，向</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支付未付款项的义务。本协议终止时，所有甲方到期款项或欠付</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的款项经双方办理结算</w:t>
      </w:r>
      <w:r>
        <w:rPr>
          <w:rFonts w:hint="eastAsia" w:ascii="宋体" w:hAnsi="宋体" w:eastAsia="宋体" w:cs="Times New Roman"/>
          <w:color w:val="000000"/>
          <w:kern w:val="0"/>
          <w:sz w:val="24"/>
          <w:szCs w:val="24"/>
          <w:highlight w:val="none"/>
          <w:lang w:val="en-US" w:eastAsia="zh-CN" w:bidi="ar-SA"/>
        </w:rPr>
        <w:t>并</w:t>
      </w:r>
      <w:r>
        <w:rPr>
          <w:rFonts w:ascii="宋体" w:hAnsi="宋体" w:eastAsia="宋体" w:cs="Times New Roman"/>
          <w:color w:val="000000"/>
          <w:kern w:val="0"/>
          <w:sz w:val="24"/>
          <w:szCs w:val="24"/>
          <w:highlight w:val="none"/>
          <w:lang w:val="en-US" w:eastAsia="zh-CN" w:bidi="ar-SA"/>
        </w:rPr>
        <w:t>确认后，由甲方支付。</w:t>
      </w:r>
      <w:r>
        <w:rPr>
          <w:rFonts w:ascii="宋体" w:hAnsi="宋体" w:eastAsia="宋体" w:cs="Times New Roman"/>
          <w:color w:val="auto"/>
          <w:kern w:val="0"/>
          <w:sz w:val="24"/>
          <w:szCs w:val="24"/>
          <w:highlight w:val="none"/>
          <w:lang w:val="en-US" w:eastAsia="zh-CN" w:bidi="ar-SA"/>
        </w:rPr>
        <w:t>若</w:t>
      </w:r>
      <w:r>
        <w:rPr>
          <w:rFonts w:hint="eastAsia" w:ascii="宋体" w:hAnsi="宋体" w:eastAsia="宋体" w:cs="Times New Roman"/>
          <w:color w:val="auto"/>
          <w:kern w:val="0"/>
          <w:sz w:val="24"/>
          <w:szCs w:val="24"/>
          <w:highlight w:val="none"/>
          <w:lang w:val="en-US" w:eastAsia="zh-CN" w:bidi="ar-SA"/>
        </w:rPr>
        <w:t>乙方</w:t>
      </w:r>
      <w:r>
        <w:rPr>
          <w:rFonts w:ascii="宋体" w:hAnsi="宋体" w:eastAsia="宋体" w:cs="Times New Roman"/>
          <w:color w:val="auto"/>
          <w:kern w:val="0"/>
          <w:sz w:val="24"/>
          <w:szCs w:val="24"/>
          <w:highlight w:val="none"/>
          <w:lang w:val="en-US" w:eastAsia="zh-CN" w:bidi="ar-SA"/>
        </w:rPr>
        <w:t>未按约定完成服务资料、设备（归甲方所有的）的移交，甲方有权暂不支付未付款项，直至</w:t>
      </w:r>
      <w:r>
        <w:rPr>
          <w:rFonts w:hint="eastAsia" w:ascii="宋体" w:hAnsi="宋体" w:eastAsia="宋体" w:cs="Times New Roman"/>
          <w:color w:val="auto"/>
          <w:kern w:val="0"/>
          <w:sz w:val="24"/>
          <w:szCs w:val="24"/>
          <w:highlight w:val="none"/>
          <w:lang w:val="en-US" w:eastAsia="zh-CN" w:bidi="ar-SA"/>
        </w:rPr>
        <w:t>乙方</w:t>
      </w:r>
      <w:r>
        <w:rPr>
          <w:rFonts w:ascii="宋体" w:hAnsi="宋体" w:eastAsia="宋体" w:cs="Times New Roman"/>
          <w:color w:val="auto"/>
          <w:kern w:val="0"/>
          <w:sz w:val="24"/>
          <w:szCs w:val="24"/>
          <w:highlight w:val="none"/>
          <w:lang w:val="en-US" w:eastAsia="zh-CN" w:bidi="ar-SA"/>
        </w:rPr>
        <w:t>完成移交。</w:t>
      </w:r>
    </w:p>
    <w:p w14:paraId="33A47702">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3</w:t>
      </w:r>
      <w:r>
        <w:rPr>
          <w:rFonts w:ascii="宋体" w:hAnsi="宋体" w:eastAsia="宋体" w:cs="Times New Roman"/>
          <w:color w:val="000000"/>
          <w:kern w:val="0"/>
          <w:sz w:val="24"/>
          <w:szCs w:val="24"/>
          <w:highlight w:val="none"/>
          <w:lang w:val="en-US" w:eastAsia="zh-CN" w:bidi="ar-SA"/>
        </w:rPr>
        <w:t>.3费用和损失补偿</w:t>
      </w:r>
    </w:p>
    <w:p w14:paraId="334141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若因</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违约原因导致本协议在合同期限届满前终止的，</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应就甲方由于本协议的提前终止所产生的一切损失（包括甲方可能需为此支付的一切费用及为</w:t>
      </w:r>
      <w:r>
        <w:rPr>
          <w:rFonts w:hint="eastAsia" w:ascii="宋体" w:hAnsi="宋体" w:eastAsia="宋体" w:cs="Times New Roman"/>
          <w:color w:val="000000"/>
          <w:kern w:val="0"/>
          <w:sz w:val="24"/>
          <w:szCs w:val="24"/>
          <w:highlight w:val="none"/>
          <w:lang w:val="en-US" w:eastAsia="zh-CN" w:bidi="ar-SA"/>
        </w:rPr>
        <w:t>收取乙方欠款</w:t>
      </w:r>
      <w:r>
        <w:rPr>
          <w:rFonts w:ascii="宋体" w:hAnsi="宋体" w:eastAsia="宋体" w:cs="Times New Roman"/>
          <w:color w:val="000000"/>
          <w:kern w:val="0"/>
          <w:sz w:val="24"/>
          <w:szCs w:val="24"/>
          <w:highlight w:val="none"/>
          <w:lang w:val="en-US" w:eastAsia="zh-CN" w:bidi="ar-SA"/>
        </w:rPr>
        <w:t>而支付的合理律师费）给予甲方补偿并使其免受损失。</w:t>
      </w:r>
    </w:p>
    <w:p w14:paraId="1999728A">
      <w:pPr>
        <w:keepNext w:val="0"/>
        <w:keepLines w:val="0"/>
        <w:pageBreakBefore w:val="0"/>
        <w:widowControl w:val="0"/>
        <w:kinsoku/>
        <w:wordWrap/>
        <w:overflowPunct/>
        <w:topLinePunct w:val="0"/>
        <w:autoSpaceDE/>
        <w:autoSpaceDN/>
        <w:bidi w:val="0"/>
        <w:adjustRightInd w:val="0"/>
        <w:snapToGrid w:val="0"/>
        <w:spacing w:line="360" w:lineRule="auto"/>
        <w:jc w:val="both"/>
        <w:rPr>
          <w:rFonts w:ascii="宋体" w:hAnsi="宋体" w:eastAsia="宋体" w:cs="Times New Roman"/>
          <w:b/>
          <w:color w:val="000000"/>
          <w:kern w:val="2"/>
          <w:sz w:val="24"/>
          <w:szCs w:val="20"/>
          <w:highlight w:val="none"/>
          <w:lang w:val="en-US" w:eastAsia="zh-CN" w:bidi="ar-SA"/>
        </w:rPr>
      </w:pPr>
      <w:r>
        <w:rPr>
          <w:rFonts w:hint="eastAsia" w:ascii="宋体" w:hAnsi="宋体" w:eastAsia="宋体" w:cs="Times New Roman"/>
          <w:b/>
          <w:color w:val="000000"/>
          <w:kern w:val="2"/>
          <w:sz w:val="24"/>
          <w:szCs w:val="20"/>
          <w:highlight w:val="none"/>
          <w:lang w:val="en-US" w:eastAsia="zh-CN" w:bidi="ar-SA"/>
        </w:rPr>
        <w:t>14</w:t>
      </w:r>
      <w:r>
        <w:rPr>
          <w:rFonts w:ascii="宋体" w:hAnsi="宋体" w:eastAsia="宋体" w:cs="Times New Roman"/>
          <w:b/>
          <w:color w:val="000000"/>
          <w:kern w:val="2"/>
          <w:sz w:val="24"/>
          <w:szCs w:val="20"/>
          <w:highlight w:val="none"/>
          <w:lang w:val="en-US" w:eastAsia="zh-CN" w:bidi="ar-SA"/>
        </w:rPr>
        <w:t>. 一般条款</w:t>
      </w:r>
    </w:p>
    <w:p w14:paraId="1E2DA54B">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0"/>
          <w:highlight w:val="none"/>
          <w:lang w:val="en-US" w:eastAsia="zh-CN" w:bidi="ar-SA"/>
        </w:rPr>
        <w:t>1</w:t>
      </w:r>
      <w:r>
        <w:rPr>
          <w:rFonts w:hint="eastAsia" w:ascii="宋体" w:hAnsi="宋体" w:eastAsia="宋体" w:cs="Times New Roman"/>
          <w:color w:val="000000"/>
          <w:kern w:val="0"/>
          <w:sz w:val="24"/>
          <w:szCs w:val="20"/>
          <w:highlight w:val="none"/>
          <w:lang w:val="en-US" w:eastAsia="zh-CN" w:bidi="ar-SA"/>
        </w:rPr>
        <w:t>4</w:t>
      </w:r>
      <w:r>
        <w:rPr>
          <w:rFonts w:ascii="宋体" w:hAnsi="宋体" w:eastAsia="宋体" w:cs="Times New Roman"/>
          <w:color w:val="000000"/>
          <w:kern w:val="0"/>
          <w:sz w:val="24"/>
          <w:szCs w:val="20"/>
          <w:highlight w:val="none"/>
          <w:lang w:val="en-US" w:eastAsia="zh-CN" w:bidi="ar-SA"/>
        </w:rPr>
        <w:t xml:space="preserve">.1 </w:t>
      </w:r>
      <w:r>
        <w:rPr>
          <w:rFonts w:ascii="宋体" w:hAnsi="宋体" w:eastAsia="宋体" w:cs="Times New Roman"/>
          <w:color w:val="000000"/>
          <w:kern w:val="0"/>
          <w:sz w:val="24"/>
          <w:szCs w:val="24"/>
          <w:highlight w:val="none"/>
          <w:lang w:val="en-US" w:eastAsia="zh-CN" w:bidi="ar-SA"/>
        </w:rPr>
        <w:t>本协议的效力</w:t>
      </w:r>
    </w:p>
    <w:p w14:paraId="7C21FE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本协议将取代原有及现存的所有口头协议。</w:t>
      </w:r>
    </w:p>
    <w:p w14:paraId="21050F64">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4</w:t>
      </w:r>
      <w:r>
        <w:rPr>
          <w:rFonts w:ascii="宋体" w:hAnsi="宋体" w:eastAsia="宋体" w:cs="Times New Roman"/>
          <w:color w:val="000000"/>
          <w:kern w:val="0"/>
          <w:sz w:val="24"/>
          <w:szCs w:val="24"/>
          <w:highlight w:val="none"/>
          <w:lang w:val="en-US" w:eastAsia="zh-CN" w:bidi="ar-SA"/>
        </w:rPr>
        <w:t>.2合作</w:t>
      </w:r>
    </w:p>
    <w:p w14:paraId="02ACCCFC">
      <w:pPr>
        <w:keepNext w:val="0"/>
        <w:keepLines w:val="0"/>
        <w:pageBreakBefore w:val="0"/>
        <w:kinsoku/>
        <w:wordWrap/>
        <w:overflowPunct/>
        <w:topLinePunct w:val="0"/>
        <w:autoSpaceDE/>
        <w:autoSpaceDN/>
        <w:bidi w:val="0"/>
        <w:adjustRightInd w:val="0"/>
        <w:snapToGrid w:val="0"/>
        <w:spacing w:line="360" w:lineRule="auto"/>
        <w:ind w:firstLine="480" w:firstLineChars="200"/>
        <w:rPr>
          <w:rFonts w:ascii="宋体" w:hAnsi="宋体" w:eastAsia="宋体"/>
          <w:color w:val="000000"/>
          <w:sz w:val="24"/>
          <w:highlight w:val="none"/>
        </w:rPr>
      </w:pPr>
      <w:r>
        <w:rPr>
          <w:rFonts w:ascii="宋体" w:hAnsi="宋体" w:eastAsia="宋体"/>
          <w:color w:val="000000"/>
          <w:sz w:val="24"/>
          <w:highlight w:val="none"/>
        </w:rPr>
        <w:t>在本协议履行过程中，一方认为对方履行协议有瑕疵，应以书面形式通知对</w:t>
      </w:r>
      <w:r>
        <w:rPr>
          <w:rFonts w:hint="eastAsia" w:ascii="宋体" w:hAnsi="宋体" w:eastAsia="宋体"/>
          <w:color w:val="000000"/>
          <w:sz w:val="24"/>
          <w:highlight w:val="none"/>
        </w:rPr>
        <w:t>方及时改进。</w:t>
      </w:r>
    </w:p>
    <w:p w14:paraId="67AD24FC">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4</w:t>
      </w:r>
      <w:r>
        <w:rPr>
          <w:rFonts w:ascii="宋体" w:hAnsi="宋体" w:eastAsia="宋体" w:cs="Times New Roman"/>
          <w:color w:val="000000"/>
          <w:kern w:val="0"/>
          <w:sz w:val="24"/>
          <w:szCs w:val="24"/>
          <w:highlight w:val="none"/>
          <w:lang w:val="en-US" w:eastAsia="zh-CN" w:bidi="ar-SA"/>
        </w:rPr>
        <w:t>.3争议解决</w:t>
      </w:r>
    </w:p>
    <w:p w14:paraId="53A0FE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对于任何因本协议或因违反本协议而产生的争议，双方应善意地尽力以调解方式解决。如经调解</w:t>
      </w:r>
      <w:r>
        <w:rPr>
          <w:rFonts w:hint="eastAsia" w:ascii="宋体" w:hAnsi="宋体" w:eastAsia="宋体" w:cs="Times New Roman"/>
          <w:color w:val="000000"/>
          <w:kern w:val="0"/>
          <w:sz w:val="24"/>
          <w:szCs w:val="24"/>
          <w:highlight w:val="none"/>
          <w:lang w:val="en-US" w:eastAsia="zh-CN" w:bidi="ar-SA"/>
        </w:rPr>
        <w:t>未果</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任何一方均</w:t>
      </w:r>
      <w:r>
        <w:rPr>
          <w:rFonts w:ascii="宋体" w:hAnsi="宋体" w:eastAsia="宋体" w:cs="Times New Roman"/>
          <w:color w:val="000000"/>
          <w:kern w:val="0"/>
          <w:sz w:val="24"/>
          <w:szCs w:val="24"/>
          <w:highlight w:val="none"/>
          <w:lang w:val="en-US" w:eastAsia="zh-CN" w:bidi="ar-SA"/>
        </w:rPr>
        <w:t>向甲方所</w:t>
      </w:r>
      <w:r>
        <w:rPr>
          <w:rFonts w:hint="eastAsia" w:ascii="宋体" w:hAnsi="宋体" w:eastAsia="宋体" w:cs="Times New Roman"/>
          <w:color w:val="000000"/>
          <w:kern w:val="0"/>
          <w:sz w:val="24"/>
          <w:szCs w:val="24"/>
          <w:highlight w:val="none"/>
          <w:lang w:val="en-US" w:eastAsia="zh-CN" w:bidi="ar-SA"/>
        </w:rPr>
        <w:t>在</w:t>
      </w:r>
      <w:r>
        <w:rPr>
          <w:rFonts w:ascii="宋体" w:hAnsi="宋体" w:eastAsia="宋体" w:cs="Times New Roman"/>
          <w:color w:val="000000"/>
          <w:kern w:val="0"/>
          <w:sz w:val="24"/>
          <w:szCs w:val="24"/>
          <w:highlight w:val="none"/>
          <w:lang w:val="en-US" w:eastAsia="zh-CN" w:bidi="ar-SA"/>
        </w:rPr>
        <w:t>地的人民法院提起诉讼。</w:t>
      </w:r>
    </w:p>
    <w:p w14:paraId="7EE8D435">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4</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4</w:t>
      </w:r>
      <w:r>
        <w:rPr>
          <w:rFonts w:ascii="宋体" w:hAnsi="宋体" w:eastAsia="宋体" w:cs="Times New Roman"/>
          <w:color w:val="000000"/>
          <w:kern w:val="0"/>
          <w:sz w:val="24"/>
          <w:szCs w:val="24"/>
          <w:highlight w:val="none"/>
          <w:lang w:val="en-US" w:eastAsia="zh-CN" w:bidi="ar-SA"/>
        </w:rPr>
        <w:t>协议的转让</w:t>
      </w:r>
    </w:p>
    <w:p w14:paraId="3B8BA2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未经对方事先书面同意，任何一方不得将本协议的权利义务转让给任何第三方。</w:t>
      </w:r>
    </w:p>
    <w:p w14:paraId="3EB91B08">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4</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5</w:t>
      </w:r>
      <w:r>
        <w:rPr>
          <w:rFonts w:ascii="宋体" w:hAnsi="宋体" w:eastAsia="宋体" w:cs="Times New Roman"/>
          <w:color w:val="000000"/>
          <w:kern w:val="0"/>
          <w:sz w:val="24"/>
          <w:szCs w:val="24"/>
          <w:highlight w:val="none"/>
          <w:lang w:val="en-US" w:eastAsia="zh-CN" w:bidi="ar-SA"/>
        </w:rPr>
        <w:t>不构成放弃</w:t>
      </w:r>
    </w:p>
    <w:p w14:paraId="53BDFAD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对任何违约行为的豁免，不能被解释为或构成放弃对以后任何违约行为的追究。</w:t>
      </w:r>
    </w:p>
    <w:p w14:paraId="63DBD849">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4</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6</w:t>
      </w:r>
      <w:r>
        <w:rPr>
          <w:rFonts w:ascii="宋体" w:hAnsi="宋体" w:eastAsia="宋体" w:cs="Times New Roman"/>
          <w:color w:val="000000"/>
          <w:kern w:val="0"/>
          <w:sz w:val="24"/>
          <w:szCs w:val="24"/>
          <w:highlight w:val="none"/>
          <w:lang w:val="en-US" w:eastAsia="zh-CN" w:bidi="ar-SA"/>
        </w:rPr>
        <w:t>不可抗力</w:t>
      </w:r>
    </w:p>
    <w:p w14:paraId="78CAF0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baseline"/>
        <w:rPr>
          <w:rFonts w:ascii="宋体" w:hAnsi="宋体" w:eastAsia="宋体" w:cs="Times New Roman"/>
          <w:color w:val="auto"/>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如果</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对本合同的履行因不可抗力的原因，包括但不限于火灾、洪水、意外事故、罢工、动乱及战争、自然灾害导致本协议迟延履行，</w:t>
      </w:r>
      <w:r>
        <w:rPr>
          <w:rFonts w:ascii="宋体" w:hAnsi="宋体" w:eastAsia="宋体" w:cs="Times New Roman"/>
          <w:color w:val="auto"/>
          <w:kern w:val="0"/>
          <w:sz w:val="24"/>
          <w:szCs w:val="24"/>
          <w:highlight w:val="none"/>
          <w:lang w:val="en-US" w:eastAsia="zh-CN" w:bidi="ar-SA"/>
        </w:rPr>
        <w:t>应在不可抗力发生后</w:t>
      </w:r>
      <w:r>
        <w:rPr>
          <w:rFonts w:hint="eastAsia" w:ascii="宋体" w:hAnsi="宋体" w:eastAsia="宋体" w:cs="Times New Roman"/>
          <w:color w:val="auto"/>
          <w:kern w:val="0"/>
          <w:sz w:val="24"/>
          <w:szCs w:val="24"/>
          <w:highlight w:val="none"/>
          <w:u w:val="single"/>
          <w:lang w:val="en-US" w:eastAsia="zh-CN" w:bidi="ar-SA"/>
        </w:rPr>
        <w:t>1</w:t>
      </w:r>
      <w:r>
        <w:rPr>
          <w:rFonts w:ascii="宋体" w:hAnsi="宋体" w:eastAsia="宋体" w:cs="Times New Roman"/>
          <w:color w:val="auto"/>
          <w:kern w:val="0"/>
          <w:sz w:val="24"/>
          <w:szCs w:val="24"/>
          <w:highlight w:val="none"/>
          <w:lang w:val="en-US" w:eastAsia="zh-CN" w:bidi="ar-SA"/>
        </w:rPr>
        <w:t>小时内书面通知甲方，说明不可抗力的性质、影响范围及预计持续时间，并在事件发生后</w:t>
      </w:r>
      <w:r>
        <w:rPr>
          <w:rFonts w:hint="eastAsia" w:ascii="宋体" w:hAnsi="宋体" w:eastAsia="宋体" w:cs="Times New Roman"/>
          <w:color w:val="auto"/>
          <w:kern w:val="0"/>
          <w:sz w:val="24"/>
          <w:szCs w:val="24"/>
          <w:highlight w:val="none"/>
          <w:u w:val="single"/>
          <w:lang w:val="en-US" w:eastAsia="zh-CN" w:bidi="ar-SA"/>
        </w:rPr>
        <w:t>1</w:t>
      </w:r>
      <w:r>
        <w:rPr>
          <w:rFonts w:ascii="宋体" w:hAnsi="宋体" w:eastAsia="宋体" w:cs="Times New Roman"/>
          <w:color w:val="auto"/>
          <w:kern w:val="0"/>
          <w:sz w:val="24"/>
          <w:szCs w:val="24"/>
          <w:highlight w:val="none"/>
          <w:lang w:val="en-US" w:eastAsia="zh-CN" w:bidi="ar-SA"/>
        </w:rPr>
        <w:t>个工作日内提供相关证明文件</w:t>
      </w:r>
      <w:r>
        <w:rPr>
          <w:rFonts w:hint="eastAsia" w:ascii="宋体" w:hAnsi="宋体" w:eastAsia="宋体" w:cs="Times New Roman"/>
          <w:color w:val="auto"/>
          <w:kern w:val="0"/>
          <w:sz w:val="24"/>
          <w:szCs w:val="24"/>
          <w:highlight w:val="none"/>
          <w:lang w:val="en-US" w:eastAsia="zh-CN" w:bidi="ar-SA"/>
        </w:rPr>
        <w:t>。</w:t>
      </w:r>
      <w:r>
        <w:rPr>
          <w:rFonts w:ascii="宋体" w:hAnsi="宋体" w:eastAsia="宋体" w:cs="Times New Roman"/>
          <w:color w:val="auto"/>
          <w:kern w:val="0"/>
          <w:sz w:val="24"/>
          <w:szCs w:val="24"/>
          <w:highlight w:val="none"/>
          <w:lang w:val="en-US" w:eastAsia="zh-CN" w:bidi="ar-SA"/>
        </w:rPr>
        <w:t>因不可抗力导致</w:t>
      </w:r>
      <w:r>
        <w:rPr>
          <w:rFonts w:hint="eastAsia" w:ascii="宋体" w:hAnsi="宋体" w:eastAsia="宋体" w:cs="Times New Roman"/>
          <w:color w:val="auto"/>
          <w:kern w:val="0"/>
          <w:sz w:val="24"/>
          <w:szCs w:val="24"/>
          <w:highlight w:val="none"/>
          <w:lang w:val="en-US" w:eastAsia="zh-CN" w:bidi="ar-SA"/>
        </w:rPr>
        <w:t>乙方</w:t>
      </w:r>
      <w:r>
        <w:rPr>
          <w:rFonts w:ascii="宋体" w:hAnsi="宋体" w:eastAsia="宋体" w:cs="Times New Roman"/>
          <w:color w:val="auto"/>
          <w:kern w:val="0"/>
          <w:sz w:val="24"/>
          <w:szCs w:val="24"/>
          <w:highlight w:val="none"/>
          <w:lang w:val="en-US" w:eastAsia="zh-CN" w:bidi="ar-SA"/>
        </w:rPr>
        <w:t>迟延履行的，履行合同的时间也应作相应延迟。如延迟时间超过120天，</w:t>
      </w:r>
      <w:r>
        <w:rPr>
          <w:rFonts w:hint="eastAsia" w:ascii="宋体" w:hAnsi="宋体" w:eastAsia="宋体" w:cs="Times New Roman"/>
          <w:color w:val="auto"/>
          <w:kern w:val="0"/>
          <w:sz w:val="24"/>
          <w:szCs w:val="24"/>
          <w:highlight w:val="none"/>
          <w:lang w:val="en-US" w:eastAsia="zh-CN" w:bidi="ar-SA"/>
        </w:rPr>
        <w:t>乙方</w:t>
      </w:r>
      <w:r>
        <w:rPr>
          <w:rFonts w:ascii="宋体" w:hAnsi="宋体" w:eastAsia="宋体" w:cs="Times New Roman"/>
          <w:color w:val="auto"/>
          <w:kern w:val="0"/>
          <w:sz w:val="24"/>
          <w:szCs w:val="24"/>
          <w:highlight w:val="none"/>
          <w:lang w:val="en-US" w:eastAsia="zh-CN" w:bidi="ar-SA"/>
        </w:rPr>
        <w:t>可选择终止本协议，在协议终止时甲方应支付给</w:t>
      </w:r>
      <w:r>
        <w:rPr>
          <w:rFonts w:hint="eastAsia" w:ascii="宋体" w:hAnsi="宋体" w:eastAsia="宋体" w:cs="Times New Roman"/>
          <w:color w:val="auto"/>
          <w:kern w:val="0"/>
          <w:sz w:val="24"/>
          <w:szCs w:val="24"/>
          <w:highlight w:val="none"/>
          <w:lang w:val="en-US" w:eastAsia="zh-CN" w:bidi="ar-SA"/>
        </w:rPr>
        <w:t>乙方</w:t>
      </w:r>
      <w:r>
        <w:rPr>
          <w:rFonts w:ascii="宋体" w:hAnsi="宋体" w:eastAsia="宋体" w:cs="Times New Roman"/>
          <w:color w:val="auto"/>
          <w:kern w:val="0"/>
          <w:sz w:val="24"/>
          <w:szCs w:val="24"/>
          <w:highlight w:val="none"/>
          <w:lang w:val="en-US" w:eastAsia="zh-CN" w:bidi="ar-SA"/>
        </w:rPr>
        <w:t>已到期的费用</w:t>
      </w:r>
      <w:r>
        <w:rPr>
          <w:rFonts w:hint="eastAsia" w:ascii="宋体" w:hAnsi="宋体" w:eastAsia="宋体" w:cs="Times New Roman"/>
          <w:color w:val="auto"/>
          <w:kern w:val="0"/>
          <w:sz w:val="24"/>
          <w:szCs w:val="24"/>
          <w:highlight w:val="none"/>
          <w:lang w:val="en-US" w:eastAsia="zh-CN" w:bidi="ar-SA"/>
        </w:rPr>
        <w:t>（延迟期间甲方不承担费用）</w:t>
      </w:r>
      <w:r>
        <w:rPr>
          <w:rFonts w:ascii="宋体" w:hAnsi="宋体" w:eastAsia="宋体" w:cs="Times New Roman"/>
          <w:color w:val="auto"/>
          <w:kern w:val="0"/>
          <w:sz w:val="24"/>
          <w:szCs w:val="24"/>
          <w:highlight w:val="none"/>
          <w:lang w:val="en-US" w:eastAsia="zh-CN" w:bidi="ar-SA"/>
        </w:rPr>
        <w:t>。</w:t>
      </w:r>
      <w:r>
        <w:rPr>
          <w:rFonts w:hint="eastAsia" w:ascii="宋体" w:hAnsi="宋体" w:eastAsia="宋体" w:cs="Times New Roman"/>
          <w:color w:val="auto"/>
          <w:kern w:val="0"/>
          <w:sz w:val="24"/>
          <w:szCs w:val="24"/>
          <w:highlight w:val="none"/>
          <w:lang w:val="en-US" w:eastAsia="zh-CN" w:bidi="ar-SA"/>
        </w:rPr>
        <w:t>乙方</w:t>
      </w:r>
      <w:r>
        <w:rPr>
          <w:rFonts w:ascii="宋体" w:hAnsi="宋体" w:eastAsia="宋体" w:cs="Times New Roman"/>
          <w:color w:val="auto"/>
          <w:kern w:val="0"/>
          <w:sz w:val="24"/>
          <w:szCs w:val="24"/>
          <w:highlight w:val="none"/>
          <w:lang w:val="en-US" w:eastAsia="zh-CN" w:bidi="ar-SA"/>
        </w:rPr>
        <w:t>因不可抗力不能履行协议的，应采取合理措施减少损失，若</w:t>
      </w:r>
      <w:r>
        <w:rPr>
          <w:rFonts w:hint="eastAsia" w:ascii="宋体" w:hAnsi="宋体" w:eastAsia="宋体" w:cs="Times New Roman"/>
          <w:color w:val="auto"/>
          <w:kern w:val="0"/>
          <w:sz w:val="24"/>
          <w:szCs w:val="24"/>
          <w:highlight w:val="none"/>
          <w:lang w:val="en-US" w:eastAsia="zh-CN" w:bidi="ar-SA"/>
        </w:rPr>
        <w:t>乙方</w:t>
      </w:r>
      <w:r>
        <w:rPr>
          <w:rFonts w:ascii="宋体" w:hAnsi="宋体" w:eastAsia="宋体" w:cs="Times New Roman"/>
          <w:color w:val="auto"/>
          <w:kern w:val="0"/>
          <w:sz w:val="24"/>
          <w:szCs w:val="24"/>
          <w:highlight w:val="none"/>
          <w:lang w:val="en-US" w:eastAsia="zh-CN" w:bidi="ar-SA"/>
        </w:rPr>
        <w:t>未采取减损措施导致损失扩大，应对扩大的损失承担责任。</w:t>
      </w:r>
    </w:p>
    <w:p w14:paraId="1FD545E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baseline"/>
        <w:rPr>
          <w:rFonts w:hint="eastAsia" w:ascii="宋体" w:hAnsi="宋体" w:eastAsia="宋体" w:cs="Times New Roman"/>
          <w:color w:val="auto"/>
          <w:kern w:val="0"/>
          <w:sz w:val="24"/>
          <w:szCs w:val="24"/>
          <w:highlight w:val="none"/>
          <w:lang w:val="en-US" w:eastAsia="zh-CN" w:bidi="ar-SA"/>
        </w:rPr>
      </w:pPr>
      <w:r>
        <w:rPr>
          <w:rFonts w:hint="eastAsia" w:ascii="宋体" w:hAnsi="宋体" w:eastAsia="宋体" w:cs="Times New Roman"/>
          <w:color w:val="auto"/>
          <w:kern w:val="0"/>
          <w:sz w:val="24"/>
          <w:szCs w:val="24"/>
          <w:highlight w:val="none"/>
          <w:lang w:val="en-US" w:eastAsia="zh-CN" w:bidi="ar-SA"/>
        </w:rPr>
        <w:t>14.7通知与送达</w:t>
      </w:r>
    </w:p>
    <w:p w14:paraId="6B7A8B1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baseline"/>
        <w:rPr>
          <w:rFonts w:hint="default" w:ascii="宋体" w:hAnsi="宋体" w:eastAsia="宋体" w:cs="Times New Roman"/>
          <w:color w:val="auto"/>
          <w:kern w:val="0"/>
          <w:sz w:val="24"/>
          <w:szCs w:val="24"/>
          <w:highlight w:val="none"/>
          <w:lang w:val="en-US" w:eastAsia="zh-CN" w:bidi="ar-SA"/>
        </w:rPr>
      </w:pPr>
      <w:r>
        <w:rPr>
          <w:rFonts w:hint="eastAsia" w:ascii="宋体" w:hAnsi="宋体" w:eastAsia="宋体" w:cs="Times New Roman"/>
          <w:color w:val="auto"/>
          <w:kern w:val="0"/>
          <w:sz w:val="24"/>
          <w:szCs w:val="24"/>
          <w:highlight w:val="none"/>
          <w:lang w:val="en-US" w:eastAsia="zh-CN" w:bidi="ar-SA"/>
        </w:rPr>
        <w:t>本协议项下的所有通知、函件均应以书面形式（包括但不限于挂号信、快递、电子邮件）发出；双方的送达地址及联系方式以本协议首页列明的为准，若一方变更送达地址或联系方式，应提前</w:t>
      </w:r>
      <w:r>
        <w:rPr>
          <w:rFonts w:hint="eastAsia" w:ascii="宋体" w:hAnsi="宋体" w:eastAsia="宋体" w:cs="Times New Roman"/>
          <w:color w:val="auto"/>
          <w:kern w:val="0"/>
          <w:sz w:val="24"/>
          <w:szCs w:val="24"/>
          <w:highlight w:val="none"/>
          <w:u w:val="single"/>
          <w:lang w:val="en-US" w:eastAsia="zh-CN" w:bidi="ar-SA"/>
        </w:rPr>
        <w:t>3</w:t>
      </w:r>
      <w:r>
        <w:rPr>
          <w:rFonts w:hint="eastAsia" w:ascii="宋体" w:hAnsi="宋体" w:eastAsia="宋体" w:cs="Times New Roman"/>
          <w:color w:val="auto"/>
          <w:kern w:val="0"/>
          <w:sz w:val="24"/>
          <w:szCs w:val="24"/>
          <w:highlight w:val="none"/>
          <w:lang w:val="en-US" w:eastAsia="zh-CN" w:bidi="ar-SA"/>
        </w:rPr>
        <w:t>个工作日书面通知对方，否则由此导致的通知无法送达、延迟送达等后果，由变更方承担。</w:t>
      </w:r>
    </w:p>
    <w:p w14:paraId="3E162B9B">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5</w:t>
      </w:r>
      <w:r>
        <w:rPr>
          <w:rFonts w:ascii="宋体" w:hAnsi="宋体" w:eastAsia="宋体" w:cs="Times New Roman"/>
          <w:color w:val="000000"/>
          <w:kern w:val="0"/>
          <w:sz w:val="24"/>
          <w:szCs w:val="24"/>
          <w:highlight w:val="none"/>
          <w:lang w:val="en-US" w:eastAsia="zh-CN" w:bidi="ar-SA"/>
        </w:rPr>
        <w:t>．下列文件属本合同的依据和附件，是本合同不可分割的部分，具有同等法律效应，如有不一致的情况，除特别说明外，以文件生成的时间</w:t>
      </w:r>
      <w:r>
        <w:rPr>
          <w:rFonts w:hint="eastAsia" w:ascii="宋体" w:hAnsi="宋体" w:eastAsia="宋体" w:cs="Times New Roman"/>
          <w:color w:val="000000"/>
          <w:kern w:val="0"/>
          <w:sz w:val="24"/>
          <w:szCs w:val="24"/>
          <w:highlight w:val="none"/>
          <w:lang w:val="en-US" w:eastAsia="zh-CN" w:bidi="ar-SA"/>
        </w:rPr>
        <w:t>先</w:t>
      </w:r>
      <w:r>
        <w:rPr>
          <w:rFonts w:ascii="宋体" w:hAnsi="宋体" w:eastAsia="宋体" w:cs="Times New Roman"/>
          <w:color w:val="000000"/>
          <w:kern w:val="0"/>
          <w:sz w:val="24"/>
          <w:szCs w:val="24"/>
          <w:highlight w:val="none"/>
          <w:lang w:val="en-US" w:eastAsia="zh-CN" w:bidi="ar-SA"/>
        </w:rPr>
        <w:t>后为准。</w:t>
      </w:r>
    </w:p>
    <w:p w14:paraId="12957333">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（1）</w:t>
      </w:r>
      <w:r>
        <w:rPr>
          <w:rFonts w:hint="eastAsia" w:ascii="宋体" w:hAnsi="宋体" w:eastAsia="宋体" w:cs="Times New Roman"/>
          <w:color w:val="000000"/>
          <w:kern w:val="0"/>
          <w:sz w:val="24"/>
          <w:szCs w:val="24"/>
          <w:highlight w:val="none"/>
          <w:lang w:val="en-US" w:eastAsia="zh-CN" w:bidi="ar-SA"/>
        </w:rPr>
        <w:t>补充协议及</w:t>
      </w:r>
      <w:r>
        <w:rPr>
          <w:rFonts w:ascii="宋体" w:hAnsi="宋体" w:eastAsia="宋体" w:cs="Times New Roman"/>
          <w:color w:val="000000"/>
          <w:kern w:val="0"/>
          <w:sz w:val="24"/>
          <w:szCs w:val="24"/>
          <w:highlight w:val="none"/>
          <w:lang w:val="en-US" w:eastAsia="zh-CN" w:bidi="ar-SA"/>
        </w:rPr>
        <w:t>双方授权代表签字并指明的书面文件；</w:t>
      </w:r>
    </w:p>
    <w:p w14:paraId="38F160CE">
      <w:pPr>
        <w:keepNext w:val="0"/>
        <w:keepLines w:val="0"/>
        <w:pageBreakBefore w:val="0"/>
        <w:widowControl/>
        <w:kinsoku/>
        <w:wordWrap/>
        <w:overflowPunct/>
        <w:topLinePunct w:val="0"/>
        <w:autoSpaceDE/>
        <w:autoSpaceDN/>
        <w:bidi w:val="0"/>
        <w:adjustRightInd w:val="0"/>
        <w:snapToGrid w:val="0"/>
        <w:spacing w:line="360" w:lineRule="auto"/>
        <w:rPr>
          <w:rFonts w:ascii="宋体" w:hAnsi="宋体" w:eastAsia="宋体"/>
          <w:color w:val="000000"/>
          <w:sz w:val="24"/>
          <w:highlight w:val="none"/>
        </w:rPr>
      </w:pPr>
      <w:r>
        <w:rPr>
          <w:rFonts w:ascii="宋体" w:hAnsi="宋体" w:eastAsia="宋体"/>
          <w:color w:val="000000"/>
          <w:kern w:val="0"/>
          <w:sz w:val="24"/>
          <w:highlight w:val="none"/>
        </w:rPr>
        <w:t>（2）附件：</w:t>
      </w:r>
      <w:r>
        <w:rPr>
          <w:rFonts w:hint="eastAsia" w:ascii="宋体" w:hAnsi="宋体" w:eastAsia="宋体"/>
          <w:color w:val="000000"/>
          <w:kern w:val="0"/>
          <w:sz w:val="24"/>
          <w:highlight w:val="none"/>
        </w:rPr>
        <w:t>附件为合同的组成部分和合同具有同等法律效力。</w:t>
      </w:r>
    </w:p>
    <w:p w14:paraId="31995E02">
      <w:pPr>
        <w:keepNext w:val="0"/>
        <w:keepLines w:val="0"/>
        <w:pageBreakBefore w:val="0"/>
        <w:widowControl w:val="0"/>
        <w:kinsoku/>
        <w:wordWrap/>
        <w:overflowPunct/>
        <w:topLinePunct w:val="0"/>
        <w:autoSpaceDE/>
        <w:autoSpaceDN/>
        <w:bidi w:val="0"/>
        <w:adjustRightInd w:val="0"/>
        <w:snapToGrid w:val="0"/>
        <w:spacing w:line="360" w:lineRule="auto"/>
        <w:ind w:firstLine="360" w:firstLineChars="150"/>
        <w:jc w:val="both"/>
        <w:textAlignment w:val="baseline"/>
        <w:rPr>
          <w:rFonts w:ascii="宋体" w:hAnsi="宋体" w:eastAsia="宋体" w:cs="Times New Roman"/>
          <w:color w:val="000000"/>
          <w:kern w:val="0"/>
          <w:sz w:val="24"/>
          <w:szCs w:val="24"/>
          <w:highlight w:val="none"/>
          <w:lang w:val="en-US" w:eastAsia="zh-CN" w:bidi="ar-SA"/>
        </w:rPr>
      </w:pPr>
      <w:r>
        <w:rPr>
          <w:rFonts w:ascii="宋体" w:hAnsi="宋体" w:eastAsia="宋体" w:cs="Times New Roman"/>
          <w:color w:val="000000"/>
          <w:kern w:val="0"/>
          <w:sz w:val="24"/>
          <w:szCs w:val="24"/>
          <w:highlight w:val="none"/>
          <w:lang w:val="en-US" w:eastAsia="zh-CN" w:bidi="ar-SA"/>
        </w:rPr>
        <w:t>A、</w:t>
      </w:r>
      <w:r>
        <w:rPr>
          <w:rFonts w:hint="eastAsia" w:ascii="宋体" w:hAnsi="宋体" w:eastAsia="宋体" w:cs="Times New Roman"/>
          <w:color w:val="000000"/>
          <w:kern w:val="0"/>
          <w:sz w:val="24"/>
          <w:szCs w:val="24"/>
          <w:highlight w:val="none"/>
          <w:lang w:val="en-US" w:eastAsia="zh-CN" w:bidi="ar-SA"/>
        </w:rPr>
        <w:t>西安市第五医院患者服务管理中心</w:t>
      </w:r>
      <w:r>
        <w:rPr>
          <w:rFonts w:ascii="宋体" w:hAnsi="宋体" w:eastAsia="宋体" w:cs="Times New Roman"/>
          <w:color w:val="000000"/>
          <w:kern w:val="0"/>
          <w:sz w:val="24"/>
          <w:szCs w:val="24"/>
          <w:highlight w:val="none"/>
          <w:lang w:val="en-US" w:eastAsia="zh-CN" w:bidi="ar-SA"/>
        </w:rPr>
        <w:t>项目、岗位人员配置</w:t>
      </w:r>
      <w:r>
        <w:rPr>
          <w:rFonts w:hint="eastAsia" w:ascii="宋体" w:hAnsi="宋体" w:eastAsia="宋体" w:cs="Times New Roman"/>
          <w:color w:val="000000"/>
          <w:kern w:val="0"/>
          <w:sz w:val="24"/>
          <w:szCs w:val="24"/>
          <w:highlight w:val="none"/>
          <w:lang w:val="en-US" w:eastAsia="zh-CN" w:bidi="ar-SA"/>
        </w:rPr>
        <w:t>、</w:t>
      </w:r>
      <w:r>
        <w:rPr>
          <w:rFonts w:ascii="宋体" w:hAnsi="宋体" w:eastAsia="宋体" w:cs="Times New Roman"/>
          <w:color w:val="000000"/>
          <w:kern w:val="0"/>
          <w:sz w:val="24"/>
          <w:szCs w:val="24"/>
          <w:highlight w:val="none"/>
          <w:lang w:val="en-US" w:eastAsia="zh-CN" w:bidi="ar-SA"/>
        </w:rPr>
        <w:t>工作时间、服务范围及工作职责</w:t>
      </w:r>
      <w:r>
        <w:rPr>
          <w:rFonts w:hint="eastAsia" w:ascii="宋体" w:hAnsi="宋体" w:eastAsia="宋体" w:cs="Times New Roman"/>
          <w:color w:val="000000"/>
          <w:kern w:val="0"/>
          <w:sz w:val="24"/>
          <w:szCs w:val="24"/>
          <w:highlight w:val="none"/>
          <w:lang w:val="en-US" w:eastAsia="zh-CN" w:bidi="ar-SA"/>
        </w:rPr>
        <w:t>及标准；</w:t>
      </w:r>
    </w:p>
    <w:p w14:paraId="293308F2">
      <w:pPr>
        <w:keepNext w:val="0"/>
        <w:keepLines w:val="0"/>
        <w:pageBreakBefore w:val="0"/>
        <w:widowControl w:val="0"/>
        <w:kinsoku/>
        <w:wordWrap/>
        <w:overflowPunct/>
        <w:topLinePunct w:val="0"/>
        <w:autoSpaceDE/>
        <w:autoSpaceDN/>
        <w:bidi w:val="0"/>
        <w:adjustRightInd w:val="0"/>
        <w:snapToGrid w:val="0"/>
        <w:spacing w:line="360" w:lineRule="auto"/>
        <w:ind w:left="360" w:firstLine="0"/>
        <w:jc w:val="both"/>
        <w:textAlignment w:val="baseline"/>
        <w:rPr>
          <w:rFonts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B</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西安市第五医院患者服务管理中心工作</w:t>
      </w:r>
      <w:r>
        <w:rPr>
          <w:rFonts w:ascii="宋体" w:hAnsi="宋体" w:eastAsia="宋体" w:cs="Times New Roman"/>
          <w:color w:val="000000"/>
          <w:kern w:val="0"/>
          <w:sz w:val="24"/>
          <w:szCs w:val="24"/>
          <w:highlight w:val="none"/>
          <w:lang w:val="en-US" w:eastAsia="zh-CN" w:bidi="ar-SA"/>
        </w:rPr>
        <w:t>考核标准及考核办法；</w:t>
      </w:r>
    </w:p>
    <w:p w14:paraId="10266610">
      <w:pPr>
        <w:keepNext w:val="0"/>
        <w:keepLines w:val="0"/>
        <w:pageBreakBefore w:val="0"/>
        <w:widowControl w:val="0"/>
        <w:kinsoku/>
        <w:wordWrap/>
        <w:overflowPunct/>
        <w:topLinePunct w:val="0"/>
        <w:autoSpaceDE/>
        <w:autoSpaceDN/>
        <w:bidi w:val="0"/>
        <w:adjustRightInd w:val="0"/>
        <w:snapToGrid w:val="0"/>
        <w:spacing w:line="360" w:lineRule="auto"/>
        <w:ind w:left="360" w:firstLine="0"/>
        <w:jc w:val="both"/>
        <w:textAlignment w:val="baseline"/>
        <w:rPr>
          <w:rFonts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C</w:t>
      </w:r>
      <w:r>
        <w:rPr>
          <w:rFonts w:ascii="宋体" w:hAnsi="宋体" w:eastAsia="宋体" w:cs="Times New Roman"/>
          <w:color w:val="000000"/>
          <w:kern w:val="0"/>
          <w:sz w:val="24"/>
          <w:szCs w:val="24"/>
          <w:highlight w:val="none"/>
          <w:lang w:val="en-US" w:eastAsia="zh-CN" w:bidi="ar-SA"/>
        </w:rPr>
        <w:t>、</w:t>
      </w:r>
      <w:r>
        <w:rPr>
          <w:rFonts w:hint="eastAsia" w:ascii="宋体" w:hAnsi="宋体" w:eastAsia="宋体" w:cs="Times New Roman"/>
          <w:color w:val="000000"/>
          <w:kern w:val="0"/>
          <w:sz w:val="24"/>
          <w:szCs w:val="24"/>
          <w:highlight w:val="none"/>
          <w:lang w:val="en-US" w:eastAsia="zh-CN" w:bidi="ar-SA"/>
        </w:rPr>
        <w:t>西安市第五医院患者服务管理中心工作</w:t>
      </w:r>
      <w:r>
        <w:rPr>
          <w:rFonts w:ascii="宋体" w:hAnsi="宋体" w:eastAsia="宋体" w:cs="Times New Roman"/>
          <w:color w:val="000000"/>
          <w:kern w:val="0"/>
          <w:sz w:val="24"/>
          <w:szCs w:val="24"/>
          <w:highlight w:val="none"/>
          <w:lang w:val="en-US" w:eastAsia="zh-CN" w:bidi="ar-SA"/>
        </w:rPr>
        <w:t>质量考评标准；</w:t>
      </w:r>
    </w:p>
    <w:p w14:paraId="4A013C06">
      <w:pPr>
        <w:keepNext w:val="0"/>
        <w:keepLines w:val="0"/>
        <w:pageBreakBefore w:val="0"/>
        <w:widowControl w:val="0"/>
        <w:kinsoku/>
        <w:wordWrap/>
        <w:overflowPunct/>
        <w:topLinePunct w:val="0"/>
        <w:autoSpaceDE/>
        <w:autoSpaceDN/>
        <w:bidi w:val="0"/>
        <w:adjustRightInd w:val="0"/>
        <w:snapToGrid w:val="0"/>
        <w:spacing w:line="360" w:lineRule="auto"/>
        <w:ind w:left="360" w:firstLine="0"/>
        <w:jc w:val="both"/>
        <w:textAlignment w:val="baseline"/>
        <w:rPr>
          <w:rFonts w:hint="eastAsia"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D、西安市第五医院安全协议；</w:t>
      </w:r>
    </w:p>
    <w:p w14:paraId="2AE25D26">
      <w:pPr>
        <w:keepNext w:val="0"/>
        <w:keepLines w:val="0"/>
        <w:pageBreakBefore w:val="0"/>
        <w:widowControl w:val="0"/>
        <w:kinsoku/>
        <w:wordWrap/>
        <w:overflowPunct/>
        <w:topLinePunct w:val="0"/>
        <w:autoSpaceDE/>
        <w:autoSpaceDN/>
        <w:bidi w:val="0"/>
        <w:adjustRightInd w:val="0"/>
        <w:snapToGrid w:val="0"/>
        <w:spacing w:line="360" w:lineRule="auto"/>
        <w:ind w:left="360" w:firstLine="0"/>
        <w:jc w:val="both"/>
        <w:textAlignment w:val="baseline"/>
        <w:rPr>
          <w:rFonts w:hint="default"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E、西安市第五医院系统平台配备物资清单。</w:t>
      </w:r>
    </w:p>
    <w:p w14:paraId="051AC2BF">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baseline"/>
        <w:rPr>
          <w:rFonts w:ascii="宋体" w:hAnsi="宋体" w:eastAsia="宋体" w:cs="Times New Roman"/>
          <w:color w:val="000000"/>
          <w:kern w:val="0"/>
          <w:sz w:val="24"/>
          <w:szCs w:val="24"/>
          <w:highlight w:val="none"/>
          <w:lang w:val="en-US" w:eastAsia="zh-CN" w:bidi="ar-SA"/>
        </w:rPr>
      </w:pPr>
      <w:r>
        <w:rPr>
          <w:rFonts w:hint="eastAsia" w:ascii="宋体" w:hAnsi="宋体" w:eastAsia="宋体" w:cs="Times New Roman"/>
          <w:color w:val="000000"/>
          <w:kern w:val="0"/>
          <w:sz w:val="24"/>
          <w:szCs w:val="24"/>
          <w:highlight w:val="none"/>
          <w:lang w:val="en-US" w:eastAsia="zh-CN" w:bidi="ar-SA"/>
        </w:rPr>
        <w:t>16．</w:t>
      </w:r>
      <w:r>
        <w:rPr>
          <w:rFonts w:ascii="宋体" w:hAnsi="宋体" w:eastAsia="宋体" w:cs="Times New Roman"/>
          <w:color w:val="000000"/>
          <w:kern w:val="0"/>
          <w:sz w:val="24"/>
          <w:szCs w:val="24"/>
          <w:highlight w:val="none"/>
          <w:lang w:val="en-US" w:eastAsia="zh-CN" w:bidi="ar-SA"/>
        </w:rPr>
        <w:t>本合同自双方签字盖章之日起生效。本合同一式</w:t>
      </w:r>
      <w:r>
        <w:rPr>
          <w:rFonts w:hint="eastAsia" w:ascii="宋体" w:hAnsi="宋体" w:eastAsia="宋体" w:cs="Times New Roman"/>
          <w:color w:val="000000"/>
          <w:kern w:val="0"/>
          <w:sz w:val="24"/>
          <w:szCs w:val="24"/>
          <w:highlight w:val="none"/>
          <w:lang w:val="en-US" w:eastAsia="zh-CN" w:bidi="ar-SA"/>
        </w:rPr>
        <w:t>陆</w:t>
      </w:r>
      <w:r>
        <w:rPr>
          <w:rFonts w:ascii="宋体" w:hAnsi="宋体" w:eastAsia="宋体" w:cs="Times New Roman"/>
          <w:color w:val="000000"/>
          <w:kern w:val="0"/>
          <w:sz w:val="24"/>
          <w:szCs w:val="24"/>
          <w:highlight w:val="none"/>
          <w:lang w:val="en-US" w:eastAsia="zh-CN" w:bidi="ar-SA"/>
        </w:rPr>
        <w:t>份，</w:t>
      </w:r>
      <w:r>
        <w:rPr>
          <w:rFonts w:hint="eastAsia" w:ascii="宋体" w:hAnsi="宋体" w:eastAsia="宋体" w:cs="Times New Roman"/>
          <w:color w:val="000000"/>
          <w:kern w:val="0"/>
          <w:sz w:val="24"/>
          <w:szCs w:val="24"/>
          <w:highlight w:val="none"/>
          <w:lang w:val="en-US" w:eastAsia="zh-CN" w:bidi="ar-SA"/>
        </w:rPr>
        <w:t>甲方</w:t>
      </w:r>
      <w:r>
        <w:rPr>
          <w:rFonts w:ascii="宋体" w:hAnsi="宋体" w:eastAsia="宋体" w:cs="Times New Roman"/>
          <w:color w:val="000000"/>
          <w:kern w:val="0"/>
          <w:sz w:val="24"/>
          <w:szCs w:val="24"/>
          <w:highlight w:val="none"/>
          <w:lang w:val="en-US" w:eastAsia="zh-CN" w:bidi="ar-SA"/>
        </w:rPr>
        <w:t>持</w:t>
      </w:r>
      <w:r>
        <w:rPr>
          <w:rFonts w:hint="eastAsia" w:ascii="宋体" w:hAnsi="宋体" w:eastAsia="宋体" w:cs="Times New Roman"/>
          <w:color w:val="000000"/>
          <w:kern w:val="0"/>
          <w:sz w:val="24"/>
          <w:szCs w:val="24"/>
          <w:highlight w:val="none"/>
          <w:lang w:val="en-US" w:eastAsia="zh-CN" w:bidi="ar-SA"/>
        </w:rPr>
        <w:t>伍</w:t>
      </w:r>
      <w:r>
        <w:rPr>
          <w:rFonts w:ascii="宋体" w:hAnsi="宋体" w:eastAsia="宋体" w:cs="Times New Roman"/>
          <w:color w:val="000000"/>
          <w:kern w:val="0"/>
          <w:sz w:val="24"/>
          <w:szCs w:val="24"/>
          <w:highlight w:val="none"/>
          <w:lang w:val="en-US" w:eastAsia="zh-CN" w:bidi="ar-SA"/>
        </w:rPr>
        <w:t>份、</w:t>
      </w:r>
      <w:r>
        <w:rPr>
          <w:rFonts w:hint="eastAsia" w:ascii="宋体" w:hAnsi="宋体" w:eastAsia="宋体" w:cs="Times New Roman"/>
          <w:color w:val="000000"/>
          <w:kern w:val="0"/>
          <w:sz w:val="24"/>
          <w:szCs w:val="24"/>
          <w:highlight w:val="none"/>
          <w:lang w:val="en-US" w:eastAsia="zh-CN" w:bidi="ar-SA"/>
        </w:rPr>
        <w:t>乙方</w:t>
      </w:r>
      <w:r>
        <w:rPr>
          <w:rFonts w:ascii="宋体" w:hAnsi="宋体" w:eastAsia="宋体" w:cs="Times New Roman"/>
          <w:color w:val="000000"/>
          <w:kern w:val="0"/>
          <w:sz w:val="24"/>
          <w:szCs w:val="24"/>
          <w:highlight w:val="none"/>
          <w:lang w:val="en-US" w:eastAsia="zh-CN" w:bidi="ar-SA"/>
        </w:rPr>
        <w:t>持</w:t>
      </w:r>
      <w:r>
        <w:rPr>
          <w:rFonts w:hint="eastAsia" w:ascii="宋体" w:hAnsi="宋体" w:eastAsia="宋体" w:cs="Times New Roman"/>
          <w:color w:val="000000"/>
          <w:kern w:val="0"/>
          <w:sz w:val="24"/>
          <w:szCs w:val="24"/>
          <w:highlight w:val="none"/>
          <w:lang w:val="en-US" w:eastAsia="zh-CN" w:bidi="ar-SA"/>
        </w:rPr>
        <w:t>壹</w:t>
      </w:r>
      <w:r>
        <w:rPr>
          <w:rFonts w:ascii="宋体" w:hAnsi="宋体" w:eastAsia="宋体" w:cs="Times New Roman"/>
          <w:color w:val="000000"/>
          <w:kern w:val="0"/>
          <w:sz w:val="24"/>
          <w:szCs w:val="24"/>
          <w:highlight w:val="none"/>
          <w:lang w:val="en-US" w:eastAsia="zh-CN" w:bidi="ar-SA"/>
        </w:rPr>
        <w:t>份，每份具有同等法律效力。</w:t>
      </w:r>
    </w:p>
    <w:p w14:paraId="42B7DE72">
      <w:pPr>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br w:type="page"/>
      </w:r>
    </w:p>
    <w:p w14:paraId="55D6217B">
      <w:pPr>
        <w:keepNext w:val="0"/>
        <w:keepLines w:val="0"/>
        <w:pageBreakBefore w:val="0"/>
        <w:widowControl/>
        <w:kinsoku w:val="0"/>
        <w:wordWrap/>
        <w:overflowPunct/>
        <w:topLinePunct w:val="0"/>
        <w:autoSpaceDE w:val="0"/>
        <w:autoSpaceDN w:val="0"/>
        <w:bidi w:val="0"/>
        <w:adjustRightInd w:val="0"/>
        <w:snapToGrid w:val="0"/>
        <w:spacing w:before="273" w:line="360" w:lineRule="auto"/>
        <w:ind w:left="49" w:right="6" w:firstLine="17"/>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甲  方（法人公章）                        乙  方（法人公章）</w:t>
      </w:r>
    </w:p>
    <w:p w14:paraId="287DF1AE">
      <w:pPr>
        <w:keepNext w:val="0"/>
        <w:keepLines w:val="0"/>
        <w:pageBreakBefore w:val="0"/>
        <w:widowControl/>
        <w:kinsoku w:val="0"/>
        <w:wordWrap/>
        <w:overflowPunct/>
        <w:topLinePunct w:val="0"/>
        <w:autoSpaceDE w:val="0"/>
        <w:autoSpaceDN w:val="0"/>
        <w:bidi w:val="0"/>
        <w:adjustRightInd w:val="0"/>
        <w:snapToGrid w:val="0"/>
        <w:spacing w:before="273" w:line="360" w:lineRule="auto"/>
        <w:ind w:left="6136" w:right="6" w:hanging="6136" w:hangingChars="2600"/>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单位名称：西安市第五医院                  单位名称：</w:t>
      </w:r>
    </w:p>
    <w:p w14:paraId="5288DB1F">
      <w:pPr>
        <w:keepNext w:val="0"/>
        <w:keepLines w:val="0"/>
        <w:pageBreakBefore w:val="0"/>
        <w:widowControl/>
        <w:kinsoku w:val="0"/>
        <w:wordWrap/>
        <w:overflowPunct/>
        <w:topLinePunct w:val="0"/>
        <w:autoSpaceDE w:val="0"/>
        <w:autoSpaceDN w:val="0"/>
        <w:bidi w:val="0"/>
        <w:adjustRightInd w:val="0"/>
        <w:snapToGrid w:val="0"/>
        <w:spacing w:before="273" w:line="360" w:lineRule="auto"/>
        <w:ind w:left="6136" w:leftChars="0" w:right="6" w:hanging="6136" w:hangingChars="260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地  址：西安市莲湖区西关正街112号       </w:t>
      </w: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 xml:space="preserve"> 地  址：</w:t>
      </w:r>
    </w:p>
    <w:p w14:paraId="3D789CEE">
      <w:pPr>
        <w:keepNext w:val="0"/>
        <w:keepLines w:val="0"/>
        <w:pageBreakBefore w:val="0"/>
        <w:widowControl/>
        <w:kinsoku w:val="0"/>
        <w:wordWrap/>
        <w:overflowPunct/>
        <w:topLinePunct w:val="0"/>
        <w:autoSpaceDE w:val="0"/>
        <w:autoSpaceDN w:val="0"/>
        <w:bidi w:val="0"/>
        <w:adjustRightInd w:val="0"/>
        <w:snapToGrid w:val="0"/>
        <w:spacing w:before="273" w:line="360" w:lineRule="auto"/>
        <w:ind w:left="6136" w:leftChars="0" w:right="6" w:hanging="6136" w:hangingChars="2600"/>
        <w:jc w:val="left"/>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经办人：                                  </w:t>
      </w: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 xml:space="preserve">经办人：                                </w:t>
      </w:r>
    </w:p>
    <w:p w14:paraId="54628CF8">
      <w:pPr>
        <w:keepNext w:val="0"/>
        <w:keepLines w:val="0"/>
        <w:pageBreakBefore w:val="0"/>
        <w:widowControl/>
        <w:kinsoku w:val="0"/>
        <w:wordWrap/>
        <w:overflowPunct/>
        <w:topLinePunct w:val="0"/>
        <w:autoSpaceDE w:val="0"/>
        <w:autoSpaceDN w:val="0"/>
        <w:bidi w:val="0"/>
        <w:adjustRightInd w:val="0"/>
        <w:snapToGrid w:val="0"/>
        <w:spacing w:before="273" w:line="360" w:lineRule="auto"/>
        <w:ind w:right="6"/>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主管院长：                                                                </w:t>
      </w:r>
    </w:p>
    <w:p w14:paraId="7012ADBA">
      <w:pPr>
        <w:keepNext w:val="0"/>
        <w:keepLines w:val="0"/>
        <w:pageBreakBefore w:val="0"/>
        <w:widowControl/>
        <w:kinsoku w:val="0"/>
        <w:wordWrap/>
        <w:overflowPunct/>
        <w:topLinePunct w:val="0"/>
        <w:autoSpaceDE w:val="0"/>
        <w:autoSpaceDN w:val="0"/>
        <w:bidi w:val="0"/>
        <w:adjustRightInd w:val="0"/>
        <w:snapToGrid w:val="0"/>
        <w:spacing w:before="273" w:line="360" w:lineRule="auto"/>
        <w:ind w:left="49" w:right="6" w:firstLine="17"/>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法定代表人（签字或盖章）：                法定代表人（签字或盖章）：                                                          </w:t>
      </w:r>
    </w:p>
    <w:p w14:paraId="24FD05E1">
      <w:pPr>
        <w:keepNext w:val="0"/>
        <w:keepLines w:val="0"/>
        <w:pageBreakBefore w:val="0"/>
        <w:widowControl/>
        <w:kinsoku w:val="0"/>
        <w:wordWrap/>
        <w:overflowPunct/>
        <w:topLinePunct w:val="0"/>
        <w:autoSpaceDE w:val="0"/>
        <w:autoSpaceDN w:val="0"/>
        <w:bidi w:val="0"/>
        <w:adjustRightInd w:val="0"/>
        <w:snapToGrid w:val="0"/>
        <w:spacing w:before="273" w:line="360" w:lineRule="auto"/>
        <w:ind w:left="6256" w:leftChars="2417" w:right="6" w:hanging="1180" w:hangingChars="500"/>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开户银行：</w:t>
      </w:r>
    </w:p>
    <w:p w14:paraId="3307F08A">
      <w:pPr>
        <w:keepNext w:val="0"/>
        <w:keepLines w:val="0"/>
        <w:pageBreakBefore w:val="0"/>
        <w:widowControl/>
        <w:kinsoku w:val="0"/>
        <w:wordWrap/>
        <w:overflowPunct/>
        <w:topLinePunct w:val="0"/>
        <w:autoSpaceDE w:val="0"/>
        <w:autoSpaceDN w:val="0"/>
        <w:bidi w:val="0"/>
        <w:adjustRightInd w:val="0"/>
        <w:snapToGrid w:val="0"/>
        <w:spacing w:before="273" w:line="360" w:lineRule="auto"/>
        <w:ind w:right="6" w:firstLine="5192" w:firstLineChars="2200"/>
        <w:jc w:val="both"/>
        <w:textAlignment w:val="baseline"/>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 xml:space="preserve">帐  号： </w:t>
      </w:r>
    </w:p>
    <w:p w14:paraId="297D8EB6">
      <w:pPr>
        <w:keepNext w:val="0"/>
        <w:keepLines w:val="0"/>
        <w:pageBreakBefore w:val="0"/>
        <w:widowControl/>
        <w:kinsoku w:val="0"/>
        <w:wordWrap/>
        <w:overflowPunct/>
        <w:topLinePunct w:val="0"/>
        <w:autoSpaceDE w:val="0"/>
        <w:autoSpaceDN w:val="0"/>
        <w:bidi w:val="0"/>
        <w:adjustRightInd w:val="0"/>
        <w:snapToGrid w:val="0"/>
        <w:spacing w:before="273" w:line="360" w:lineRule="auto"/>
        <w:ind w:right="6"/>
        <w:jc w:val="left"/>
        <w:textAlignment w:val="baseline"/>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 xml:space="preserve">联系电话：                 </w:t>
      </w:r>
      <w:r>
        <w:rPr>
          <w:rFonts w:hint="eastAsia" w:ascii="宋体" w:hAnsi="宋体" w:eastAsia="宋体" w:cs="宋体"/>
          <w:spacing w:val="-2"/>
          <w:sz w:val="24"/>
          <w:szCs w:val="24"/>
          <w:highlight w:val="none"/>
          <w:lang w:val="en-US" w:eastAsia="zh-CN"/>
        </w:rPr>
        <w:t xml:space="preserve">  </w:t>
      </w:r>
      <w:r>
        <w:rPr>
          <w:rFonts w:hint="eastAsia" w:ascii="宋体" w:hAnsi="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联系电话：</w:t>
      </w:r>
    </w:p>
    <w:p w14:paraId="1B1F028F">
      <w:pPr>
        <w:keepNext w:val="0"/>
        <w:keepLines w:val="0"/>
        <w:pageBreakBefore w:val="0"/>
        <w:widowControl/>
        <w:wordWrap/>
        <w:overflowPunct/>
        <w:topLinePunct w:val="0"/>
        <w:bidi w:val="0"/>
        <w:adjustRightInd w:val="0"/>
        <w:snapToGrid w:val="0"/>
        <w:spacing w:line="360" w:lineRule="auto"/>
        <w:rPr>
          <w:rFonts w:ascii="宋体" w:hAnsi="宋体" w:eastAsia="宋体"/>
          <w:b/>
          <w:bCs/>
          <w:color w:val="000000"/>
          <w:highlight w:val="none"/>
        </w:rPr>
      </w:pPr>
      <w:r>
        <w:rPr>
          <w:rFonts w:hint="eastAsia" w:ascii="宋体" w:hAnsi="宋体" w:eastAsia="宋体" w:cs="宋体"/>
          <w:spacing w:val="-2"/>
          <w:sz w:val="24"/>
          <w:szCs w:val="24"/>
          <w:highlight w:val="none"/>
        </w:rPr>
        <w:t>签订日期：</w:t>
      </w: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 xml:space="preserve"> 年  月  日                 </w:t>
      </w: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签订日期：</w:t>
      </w: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年  月  日</w:t>
      </w:r>
    </w:p>
    <w:p w14:paraId="4E6E7666">
      <w:pPr>
        <w:widowControl/>
        <w:spacing w:line="360" w:lineRule="auto"/>
        <w:rPr>
          <w:rFonts w:ascii="宋体" w:hAnsi="宋体" w:eastAsia="宋体"/>
          <w:b/>
          <w:bCs/>
          <w:color w:val="000000"/>
          <w:sz w:val="24"/>
          <w:highlight w:val="none"/>
        </w:rPr>
      </w:pPr>
    </w:p>
    <w:p w14:paraId="77B96706">
      <w:pPr>
        <w:widowControl/>
        <w:spacing w:line="360" w:lineRule="auto"/>
        <w:rPr>
          <w:rFonts w:ascii="宋体" w:hAnsi="宋体" w:eastAsia="宋体"/>
          <w:b/>
          <w:bCs/>
          <w:color w:val="000000"/>
          <w:sz w:val="24"/>
          <w:highlight w:val="none"/>
        </w:rPr>
      </w:pPr>
    </w:p>
    <w:p w14:paraId="5A215FE9">
      <w:pPr>
        <w:widowControl/>
        <w:spacing w:line="360" w:lineRule="auto"/>
        <w:rPr>
          <w:rFonts w:ascii="宋体" w:hAnsi="宋体" w:eastAsia="宋体"/>
          <w:b/>
          <w:bCs/>
          <w:color w:val="000000"/>
          <w:sz w:val="24"/>
          <w:highlight w:val="none"/>
        </w:rPr>
      </w:pPr>
    </w:p>
    <w:p w14:paraId="1A2AECA4">
      <w:pPr>
        <w:widowControl/>
        <w:spacing w:line="360" w:lineRule="auto"/>
        <w:rPr>
          <w:rFonts w:ascii="宋体" w:hAnsi="宋体" w:eastAsia="宋体"/>
          <w:b/>
          <w:bCs/>
          <w:color w:val="000000"/>
          <w:sz w:val="24"/>
          <w:highlight w:val="none"/>
        </w:rPr>
      </w:pPr>
    </w:p>
    <w:p w14:paraId="6F943F68">
      <w:pPr>
        <w:widowControl/>
        <w:spacing w:line="360" w:lineRule="auto"/>
        <w:rPr>
          <w:rFonts w:ascii="宋体" w:hAnsi="宋体" w:eastAsia="宋体"/>
          <w:b/>
          <w:bCs/>
          <w:color w:val="000000"/>
          <w:sz w:val="24"/>
          <w:highlight w:val="none"/>
        </w:rPr>
      </w:pPr>
    </w:p>
    <w:p w14:paraId="398A2860">
      <w:pPr>
        <w:widowControl/>
        <w:spacing w:line="360" w:lineRule="auto"/>
        <w:rPr>
          <w:rFonts w:ascii="宋体" w:hAnsi="宋体" w:eastAsia="宋体"/>
          <w:b/>
          <w:bCs/>
          <w:color w:val="000000"/>
          <w:sz w:val="24"/>
          <w:highlight w:val="none"/>
        </w:rPr>
      </w:pPr>
    </w:p>
    <w:p w14:paraId="2D6F72A3">
      <w:pPr>
        <w:widowControl/>
        <w:spacing w:line="360" w:lineRule="auto"/>
        <w:rPr>
          <w:rFonts w:ascii="宋体" w:hAnsi="宋体" w:eastAsia="宋体"/>
          <w:b/>
          <w:bCs/>
          <w:color w:val="000000"/>
          <w:sz w:val="24"/>
          <w:highlight w:val="none"/>
        </w:rPr>
      </w:pPr>
    </w:p>
    <w:p w14:paraId="1372F5FD">
      <w:pPr>
        <w:widowControl/>
        <w:spacing w:line="360" w:lineRule="auto"/>
        <w:rPr>
          <w:rFonts w:ascii="宋体" w:hAnsi="宋体" w:eastAsia="宋体"/>
          <w:b/>
          <w:bCs/>
          <w:color w:val="000000"/>
          <w:sz w:val="24"/>
          <w:highlight w:val="none"/>
        </w:rPr>
      </w:pPr>
    </w:p>
    <w:p w14:paraId="0202BED5">
      <w:pPr>
        <w:widowControl/>
        <w:spacing w:line="360" w:lineRule="auto"/>
        <w:rPr>
          <w:rFonts w:ascii="宋体" w:hAnsi="宋体" w:eastAsia="宋体"/>
          <w:b/>
          <w:bCs/>
          <w:color w:val="000000"/>
          <w:sz w:val="24"/>
          <w:highlight w:val="none"/>
        </w:rPr>
      </w:pPr>
    </w:p>
    <w:p w14:paraId="656B8F52">
      <w:pPr>
        <w:widowControl/>
        <w:spacing w:line="360" w:lineRule="auto"/>
        <w:rPr>
          <w:rFonts w:ascii="宋体" w:hAnsi="宋体" w:eastAsia="宋体"/>
          <w:b/>
          <w:bCs/>
          <w:color w:val="000000"/>
          <w:sz w:val="24"/>
          <w:highlight w:val="none"/>
        </w:rPr>
      </w:pPr>
    </w:p>
    <w:p w14:paraId="05D301F3">
      <w:pPr>
        <w:widowControl/>
        <w:spacing w:line="360" w:lineRule="auto"/>
        <w:rPr>
          <w:rFonts w:ascii="宋体" w:hAnsi="宋体" w:eastAsia="宋体"/>
          <w:b/>
          <w:bCs/>
          <w:color w:val="000000"/>
          <w:sz w:val="24"/>
          <w:highlight w:val="none"/>
        </w:rPr>
      </w:pPr>
    </w:p>
    <w:p w14:paraId="55373CDA">
      <w:pPr>
        <w:widowControl/>
        <w:spacing w:line="360" w:lineRule="auto"/>
        <w:rPr>
          <w:rFonts w:ascii="宋体" w:hAnsi="宋体" w:eastAsia="宋体"/>
          <w:b/>
          <w:bCs/>
          <w:color w:val="000000"/>
          <w:sz w:val="24"/>
          <w:highlight w:val="none"/>
        </w:rPr>
      </w:pPr>
    </w:p>
    <w:p w14:paraId="1AF6DF6D">
      <w:pPr>
        <w:widowControl/>
        <w:spacing w:line="360" w:lineRule="auto"/>
        <w:rPr>
          <w:rFonts w:ascii="宋体" w:hAnsi="宋体" w:eastAsia="宋体"/>
          <w:b/>
          <w:bCs/>
          <w:color w:val="000000"/>
          <w:sz w:val="24"/>
          <w:highlight w:val="none"/>
        </w:rPr>
      </w:pPr>
    </w:p>
    <w:p w14:paraId="17A4DE10">
      <w:pPr>
        <w:widowControl/>
        <w:spacing w:line="360" w:lineRule="auto"/>
        <w:rPr>
          <w:rFonts w:ascii="宋体" w:hAnsi="宋体" w:eastAsia="宋体"/>
          <w:b/>
          <w:bCs/>
          <w:color w:val="000000"/>
          <w:sz w:val="24"/>
          <w:highlight w:val="none"/>
        </w:rPr>
      </w:pPr>
    </w:p>
    <w:p w14:paraId="21E096F4">
      <w:pPr>
        <w:widowControl/>
        <w:spacing w:line="360" w:lineRule="auto"/>
        <w:rPr>
          <w:rFonts w:ascii="宋体" w:hAnsi="宋体" w:eastAsia="宋体"/>
          <w:b/>
          <w:bCs/>
          <w:color w:val="000000"/>
          <w:sz w:val="24"/>
          <w:highlight w:val="none"/>
        </w:rPr>
      </w:pPr>
    </w:p>
    <w:p w14:paraId="545946E2">
      <w:pPr>
        <w:pageBreakBefore w:val="0"/>
        <w:widowControl/>
        <w:kinsoku/>
        <w:wordWrap/>
        <w:overflowPunct/>
        <w:topLinePunct w:val="0"/>
        <w:bidi w:val="0"/>
        <w:adjustRightInd w:val="0"/>
        <w:snapToGrid w:val="0"/>
        <w:spacing w:line="360" w:lineRule="auto"/>
        <w:textAlignment w:val="auto"/>
        <w:rPr>
          <w:rFonts w:hint="eastAsia" w:ascii="宋体" w:hAnsi="宋体" w:eastAsia="宋体"/>
          <w:b/>
          <w:bCs/>
          <w:color w:val="000000"/>
          <w:sz w:val="24"/>
          <w:highlight w:val="none"/>
        </w:rPr>
      </w:pPr>
      <w:r>
        <w:rPr>
          <w:rFonts w:ascii="宋体" w:hAnsi="宋体" w:eastAsia="宋体"/>
          <w:b/>
          <w:bCs/>
          <w:color w:val="000000"/>
          <w:sz w:val="24"/>
          <w:highlight w:val="none"/>
        </w:rPr>
        <w:t>附件A：</w:t>
      </w:r>
    </w:p>
    <w:p w14:paraId="2C58DA8F">
      <w:pPr>
        <w:pageBreakBefore w:val="0"/>
        <w:widowControl/>
        <w:kinsoku/>
        <w:wordWrap/>
        <w:overflowPunct/>
        <w:topLinePunct w:val="0"/>
        <w:bidi w:val="0"/>
        <w:adjustRightInd w:val="0"/>
        <w:snapToGrid w:val="0"/>
        <w:spacing w:line="360" w:lineRule="auto"/>
        <w:textAlignment w:val="auto"/>
        <w:rPr>
          <w:rFonts w:hint="default" w:ascii="宋体" w:hAnsi="宋体" w:eastAsia="宋体"/>
          <w:b/>
          <w:bCs/>
          <w:color w:val="000000"/>
          <w:sz w:val="24"/>
          <w:highlight w:val="none"/>
          <w:lang w:val="en-US" w:eastAsia="zh-CN"/>
        </w:rPr>
      </w:pPr>
      <w:r>
        <w:rPr>
          <w:rFonts w:hint="eastAsia" w:ascii="宋体" w:hAnsi="宋体" w:eastAsia="宋体"/>
          <w:b/>
          <w:bCs/>
          <w:color w:val="000000"/>
          <w:sz w:val="24"/>
          <w:highlight w:val="none"/>
        </w:rPr>
        <w:t>1、岗位人员配置及服务内容标准</w:t>
      </w:r>
      <w:r>
        <w:rPr>
          <w:rFonts w:hint="eastAsia" w:ascii="宋体" w:hAnsi="宋体"/>
          <w:b/>
          <w:bCs/>
          <w:color w:val="000000"/>
          <w:sz w:val="24"/>
          <w:highlight w:val="none"/>
          <w:lang w:val="en-US" w:eastAsia="zh-CN"/>
        </w:rPr>
        <w:t xml:space="preserve">  </w:t>
      </w:r>
    </w:p>
    <w:tbl>
      <w:tblPr>
        <w:tblStyle w:val="9"/>
        <w:tblW w:w="9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3027"/>
        <w:gridCol w:w="2104"/>
        <w:gridCol w:w="3506"/>
      </w:tblGrid>
      <w:tr w14:paraId="65D6E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5" w:type="dxa"/>
            <w:gridSpan w:val="4"/>
            <w:tcBorders>
              <w:top w:val="single" w:color="auto" w:sz="4" w:space="0"/>
              <w:left w:val="single" w:color="auto" w:sz="4" w:space="0"/>
              <w:bottom w:val="single" w:color="auto" w:sz="4" w:space="0"/>
              <w:right w:val="single" w:color="auto" w:sz="4" w:space="0"/>
            </w:tcBorders>
            <w:noWrap w:val="0"/>
            <w:vAlign w:val="top"/>
          </w:tcPr>
          <w:p w14:paraId="1AFE35BC">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患者服务管理中心人员配置及要求</w:t>
            </w:r>
          </w:p>
        </w:tc>
      </w:tr>
      <w:tr w14:paraId="513A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noWrap w:val="0"/>
            <w:vAlign w:val="top"/>
          </w:tcPr>
          <w:p w14:paraId="362096C0">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序号</w:t>
            </w:r>
          </w:p>
        </w:tc>
        <w:tc>
          <w:tcPr>
            <w:tcW w:w="3027" w:type="dxa"/>
            <w:tcBorders>
              <w:top w:val="single" w:color="auto" w:sz="4" w:space="0"/>
              <w:left w:val="single" w:color="auto" w:sz="4" w:space="0"/>
              <w:bottom w:val="single" w:color="auto" w:sz="4" w:space="0"/>
              <w:right w:val="single" w:color="auto" w:sz="4" w:space="0"/>
            </w:tcBorders>
            <w:noWrap w:val="0"/>
            <w:vAlign w:val="top"/>
          </w:tcPr>
          <w:p w14:paraId="7EECB504">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岗位名称</w:t>
            </w:r>
          </w:p>
        </w:tc>
        <w:tc>
          <w:tcPr>
            <w:tcW w:w="2104" w:type="dxa"/>
            <w:tcBorders>
              <w:top w:val="single" w:color="auto" w:sz="4" w:space="0"/>
              <w:left w:val="single" w:color="auto" w:sz="4" w:space="0"/>
              <w:bottom w:val="single" w:color="auto" w:sz="4" w:space="0"/>
              <w:right w:val="single" w:color="auto" w:sz="4" w:space="0"/>
            </w:tcBorders>
            <w:noWrap w:val="0"/>
            <w:vAlign w:val="top"/>
          </w:tcPr>
          <w:p w14:paraId="13CE14EF">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岗位人数</w:t>
            </w:r>
          </w:p>
        </w:tc>
        <w:tc>
          <w:tcPr>
            <w:tcW w:w="3506" w:type="dxa"/>
            <w:tcBorders>
              <w:top w:val="single" w:color="auto" w:sz="4" w:space="0"/>
              <w:left w:val="single" w:color="auto" w:sz="4" w:space="0"/>
              <w:bottom w:val="single" w:color="auto" w:sz="4" w:space="0"/>
              <w:right w:val="single" w:color="auto" w:sz="4" w:space="0"/>
            </w:tcBorders>
            <w:noWrap w:val="0"/>
            <w:vAlign w:val="top"/>
          </w:tcPr>
          <w:p w14:paraId="1E7A95F6">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要求</w:t>
            </w:r>
          </w:p>
        </w:tc>
      </w:tr>
      <w:tr w14:paraId="58773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18" w:type="dxa"/>
            <w:tcBorders>
              <w:top w:val="single" w:color="auto" w:sz="4" w:space="0"/>
              <w:left w:val="single" w:color="auto" w:sz="4" w:space="0"/>
              <w:bottom w:val="single" w:color="auto" w:sz="4" w:space="0"/>
              <w:right w:val="single" w:color="auto" w:sz="4" w:space="0"/>
            </w:tcBorders>
            <w:noWrap w:val="0"/>
            <w:vAlign w:val="center"/>
          </w:tcPr>
          <w:p w14:paraId="7D1EA346">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w:t>
            </w:r>
          </w:p>
        </w:tc>
        <w:tc>
          <w:tcPr>
            <w:tcW w:w="3027" w:type="dxa"/>
            <w:tcBorders>
              <w:top w:val="single" w:color="auto" w:sz="4" w:space="0"/>
              <w:left w:val="single" w:color="auto" w:sz="4" w:space="0"/>
              <w:bottom w:val="single" w:color="auto" w:sz="4" w:space="0"/>
              <w:right w:val="single" w:color="auto" w:sz="4" w:space="0"/>
            </w:tcBorders>
            <w:noWrap w:val="0"/>
            <w:vAlign w:val="center"/>
          </w:tcPr>
          <w:p w14:paraId="7EFFF138">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陪检、陪诊及转科服务</w:t>
            </w:r>
          </w:p>
        </w:tc>
        <w:tc>
          <w:tcPr>
            <w:tcW w:w="2104" w:type="dxa"/>
            <w:tcBorders>
              <w:top w:val="single" w:color="auto" w:sz="4" w:space="0"/>
              <w:left w:val="single" w:color="auto" w:sz="4" w:space="0"/>
              <w:bottom w:val="single" w:color="auto" w:sz="4" w:space="0"/>
              <w:right w:val="single" w:color="auto" w:sz="4" w:space="0"/>
            </w:tcBorders>
            <w:noWrap w:val="0"/>
            <w:vAlign w:val="center"/>
          </w:tcPr>
          <w:p w14:paraId="70CD7EFF">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shd w:val="clear" w:color="auto" w:fill="auto"/>
                <w:lang w:val="en-US" w:eastAsia="zh-CN" w:bidi="ar-SA"/>
              </w:rPr>
            </w:pPr>
            <w:r>
              <w:rPr>
                <w:rFonts w:hint="eastAsia" w:ascii="宋体" w:hAnsi="宋体" w:eastAsia="宋体" w:cs="宋体"/>
                <w:color w:val="000000"/>
                <w:kern w:val="2"/>
                <w:sz w:val="24"/>
                <w:szCs w:val="24"/>
                <w:highlight w:val="none"/>
                <w:shd w:val="clear" w:color="auto" w:fill="auto"/>
                <w:lang w:val="en-US" w:eastAsia="zh-CN" w:bidi="ar-SA"/>
              </w:rPr>
              <w:t>5人</w:t>
            </w:r>
          </w:p>
        </w:tc>
        <w:tc>
          <w:tcPr>
            <w:tcW w:w="3506" w:type="dxa"/>
            <w:vMerge w:val="restart"/>
            <w:tcBorders>
              <w:top w:val="single" w:color="auto" w:sz="4" w:space="0"/>
              <w:left w:val="single" w:color="auto" w:sz="4" w:space="0"/>
              <w:right w:val="single" w:color="auto" w:sz="4" w:space="0"/>
            </w:tcBorders>
            <w:noWrap w:val="0"/>
            <w:vAlign w:val="center"/>
          </w:tcPr>
          <w:p w14:paraId="0B268977">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医学相关专业中专及以上学历、2年及以上相关岗位工作经验、年龄≤45岁</w:t>
            </w:r>
          </w:p>
        </w:tc>
      </w:tr>
      <w:tr w14:paraId="2AAB8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18" w:type="dxa"/>
            <w:tcBorders>
              <w:top w:val="single" w:color="auto" w:sz="4" w:space="0"/>
              <w:left w:val="single" w:color="auto" w:sz="4" w:space="0"/>
              <w:bottom w:val="single" w:color="auto" w:sz="4" w:space="0"/>
              <w:right w:val="single" w:color="auto" w:sz="4" w:space="0"/>
            </w:tcBorders>
            <w:noWrap w:val="0"/>
            <w:vAlign w:val="center"/>
          </w:tcPr>
          <w:p w14:paraId="72137900">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w:t>
            </w:r>
          </w:p>
        </w:tc>
        <w:tc>
          <w:tcPr>
            <w:tcW w:w="3027" w:type="dxa"/>
            <w:tcBorders>
              <w:top w:val="single" w:color="auto" w:sz="4" w:space="0"/>
              <w:left w:val="single" w:color="auto" w:sz="4" w:space="0"/>
              <w:bottom w:val="single" w:color="auto" w:sz="4" w:space="0"/>
              <w:right w:val="single" w:color="auto" w:sz="4" w:space="0"/>
            </w:tcBorders>
            <w:noWrap w:val="0"/>
            <w:vAlign w:val="center"/>
          </w:tcPr>
          <w:p w14:paraId="2C0093BF">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药品配送</w:t>
            </w:r>
          </w:p>
        </w:tc>
        <w:tc>
          <w:tcPr>
            <w:tcW w:w="2104" w:type="dxa"/>
            <w:tcBorders>
              <w:top w:val="single" w:color="auto" w:sz="4" w:space="0"/>
              <w:left w:val="single" w:color="auto" w:sz="4" w:space="0"/>
              <w:bottom w:val="single" w:color="auto" w:sz="4" w:space="0"/>
              <w:right w:val="single" w:color="auto" w:sz="4" w:space="0"/>
            </w:tcBorders>
            <w:noWrap w:val="0"/>
            <w:vAlign w:val="center"/>
          </w:tcPr>
          <w:p w14:paraId="02C12958">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shd w:val="clear" w:color="auto" w:fill="auto"/>
                <w:lang w:val="en-US" w:eastAsia="zh-CN" w:bidi="ar-SA"/>
              </w:rPr>
            </w:pPr>
            <w:r>
              <w:rPr>
                <w:rFonts w:hint="eastAsia" w:ascii="宋体" w:hAnsi="宋体" w:eastAsia="宋体" w:cs="宋体"/>
                <w:color w:val="000000"/>
                <w:kern w:val="2"/>
                <w:sz w:val="24"/>
                <w:szCs w:val="24"/>
                <w:highlight w:val="none"/>
                <w:shd w:val="clear" w:color="auto" w:fill="auto"/>
                <w:lang w:val="en-US" w:eastAsia="zh-CN" w:bidi="ar-SA"/>
              </w:rPr>
              <w:t>4人</w:t>
            </w:r>
          </w:p>
        </w:tc>
        <w:tc>
          <w:tcPr>
            <w:tcW w:w="3506" w:type="dxa"/>
            <w:vMerge w:val="continue"/>
            <w:tcBorders>
              <w:left w:val="single" w:color="auto" w:sz="4" w:space="0"/>
              <w:right w:val="single" w:color="auto" w:sz="4" w:space="0"/>
            </w:tcBorders>
            <w:noWrap w:val="0"/>
            <w:vAlign w:val="top"/>
          </w:tcPr>
          <w:p w14:paraId="415D2EAB">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p>
        </w:tc>
      </w:tr>
      <w:tr w14:paraId="38538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818" w:type="dxa"/>
            <w:tcBorders>
              <w:top w:val="single" w:color="auto" w:sz="4" w:space="0"/>
              <w:left w:val="single" w:color="auto" w:sz="4" w:space="0"/>
              <w:bottom w:val="single" w:color="auto" w:sz="4" w:space="0"/>
              <w:right w:val="single" w:color="auto" w:sz="4" w:space="0"/>
            </w:tcBorders>
            <w:noWrap w:val="0"/>
            <w:vAlign w:val="center"/>
          </w:tcPr>
          <w:p w14:paraId="595B0423">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3</w:t>
            </w:r>
          </w:p>
        </w:tc>
        <w:tc>
          <w:tcPr>
            <w:tcW w:w="3027" w:type="dxa"/>
            <w:tcBorders>
              <w:top w:val="single" w:color="auto" w:sz="4" w:space="0"/>
              <w:left w:val="single" w:color="auto" w:sz="4" w:space="0"/>
              <w:bottom w:val="single" w:color="auto" w:sz="4" w:space="0"/>
              <w:right w:val="single" w:color="auto" w:sz="4" w:space="0"/>
            </w:tcBorders>
            <w:noWrap w:val="0"/>
            <w:vAlign w:val="center"/>
          </w:tcPr>
          <w:p w14:paraId="447065DF">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洁污被（工）服运送</w:t>
            </w:r>
          </w:p>
        </w:tc>
        <w:tc>
          <w:tcPr>
            <w:tcW w:w="2104" w:type="dxa"/>
            <w:tcBorders>
              <w:top w:val="single" w:color="auto" w:sz="4" w:space="0"/>
              <w:left w:val="single" w:color="auto" w:sz="4" w:space="0"/>
              <w:bottom w:val="single" w:color="auto" w:sz="4" w:space="0"/>
              <w:right w:val="single" w:color="auto" w:sz="4" w:space="0"/>
            </w:tcBorders>
            <w:noWrap w:val="0"/>
            <w:vAlign w:val="center"/>
          </w:tcPr>
          <w:p w14:paraId="4CB474F7">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shd w:val="clear" w:color="auto" w:fill="auto"/>
                <w:lang w:val="en-US" w:eastAsia="zh-CN" w:bidi="ar-SA"/>
              </w:rPr>
            </w:pPr>
            <w:r>
              <w:rPr>
                <w:rFonts w:hint="eastAsia" w:ascii="宋体" w:hAnsi="宋体" w:eastAsia="宋体" w:cs="宋体"/>
                <w:color w:val="000000"/>
                <w:kern w:val="2"/>
                <w:sz w:val="24"/>
                <w:szCs w:val="24"/>
                <w:highlight w:val="none"/>
                <w:shd w:val="clear" w:color="auto" w:fill="auto"/>
                <w:lang w:val="en-US" w:eastAsia="zh-CN" w:bidi="ar-SA"/>
              </w:rPr>
              <w:t>2人</w:t>
            </w:r>
          </w:p>
        </w:tc>
        <w:tc>
          <w:tcPr>
            <w:tcW w:w="3506" w:type="dxa"/>
            <w:vMerge w:val="restart"/>
            <w:tcBorders>
              <w:left w:val="single" w:color="auto" w:sz="4" w:space="0"/>
              <w:right w:val="single" w:color="auto" w:sz="4" w:space="0"/>
            </w:tcBorders>
            <w:noWrap w:val="0"/>
            <w:vAlign w:val="top"/>
          </w:tcPr>
          <w:p w14:paraId="775B8596">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高中及以上学历、2年及以上相关岗位工作经验、年龄≤45岁</w:t>
            </w:r>
          </w:p>
        </w:tc>
      </w:tr>
      <w:tr w14:paraId="5785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18" w:type="dxa"/>
            <w:tcBorders>
              <w:top w:val="single" w:color="auto" w:sz="4" w:space="0"/>
              <w:left w:val="single" w:color="auto" w:sz="4" w:space="0"/>
              <w:bottom w:val="single" w:color="auto" w:sz="4" w:space="0"/>
              <w:right w:val="single" w:color="auto" w:sz="4" w:space="0"/>
            </w:tcBorders>
            <w:noWrap w:val="0"/>
            <w:vAlign w:val="center"/>
          </w:tcPr>
          <w:p w14:paraId="22CA68B8">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4</w:t>
            </w:r>
          </w:p>
        </w:tc>
        <w:tc>
          <w:tcPr>
            <w:tcW w:w="3027" w:type="dxa"/>
            <w:tcBorders>
              <w:top w:val="single" w:color="auto" w:sz="4" w:space="0"/>
              <w:left w:val="single" w:color="auto" w:sz="4" w:space="0"/>
              <w:bottom w:val="single" w:color="auto" w:sz="4" w:space="0"/>
              <w:right w:val="single" w:color="auto" w:sz="4" w:space="0"/>
            </w:tcBorders>
            <w:noWrap w:val="0"/>
            <w:vAlign w:val="center"/>
          </w:tcPr>
          <w:p w14:paraId="2DFC67DC">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物耗配送、一次性耗材配送</w:t>
            </w:r>
          </w:p>
        </w:tc>
        <w:tc>
          <w:tcPr>
            <w:tcW w:w="2104" w:type="dxa"/>
            <w:tcBorders>
              <w:top w:val="single" w:color="auto" w:sz="4" w:space="0"/>
              <w:left w:val="single" w:color="auto" w:sz="4" w:space="0"/>
              <w:bottom w:val="single" w:color="auto" w:sz="4" w:space="0"/>
              <w:right w:val="single" w:color="auto" w:sz="4" w:space="0"/>
            </w:tcBorders>
            <w:noWrap w:val="0"/>
            <w:vAlign w:val="center"/>
          </w:tcPr>
          <w:p w14:paraId="178A10EB">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shd w:val="clear" w:color="auto" w:fill="auto"/>
                <w:lang w:val="en-US" w:eastAsia="zh-CN" w:bidi="ar-SA"/>
              </w:rPr>
            </w:pPr>
            <w:r>
              <w:rPr>
                <w:rFonts w:hint="eastAsia" w:ascii="宋体" w:hAnsi="宋体" w:eastAsia="宋体" w:cs="宋体"/>
                <w:color w:val="000000"/>
                <w:kern w:val="2"/>
                <w:sz w:val="24"/>
                <w:szCs w:val="24"/>
                <w:highlight w:val="none"/>
                <w:shd w:val="clear" w:color="auto" w:fill="auto"/>
                <w:lang w:val="en-US" w:eastAsia="zh-CN" w:bidi="ar-SA"/>
              </w:rPr>
              <w:t>1人</w:t>
            </w:r>
          </w:p>
        </w:tc>
        <w:tc>
          <w:tcPr>
            <w:tcW w:w="3506" w:type="dxa"/>
            <w:vMerge w:val="continue"/>
            <w:tcBorders>
              <w:left w:val="single" w:color="auto" w:sz="4" w:space="0"/>
              <w:bottom w:val="single" w:color="auto" w:sz="4" w:space="0"/>
              <w:right w:val="single" w:color="auto" w:sz="4" w:space="0"/>
            </w:tcBorders>
            <w:noWrap w:val="0"/>
            <w:vAlign w:val="top"/>
          </w:tcPr>
          <w:p w14:paraId="0C459068">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p>
        </w:tc>
      </w:tr>
      <w:tr w14:paraId="4C9B3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818" w:type="dxa"/>
            <w:tcBorders>
              <w:top w:val="single" w:color="auto" w:sz="4" w:space="0"/>
              <w:left w:val="single" w:color="auto" w:sz="4" w:space="0"/>
              <w:bottom w:val="single" w:color="auto" w:sz="4" w:space="0"/>
              <w:right w:val="single" w:color="auto" w:sz="4" w:space="0"/>
            </w:tcBorders>
            <w:noWrap w:val="0"/>
            <w:vAlign w:val="center"/>
          </w:tcPr>
          <w:p w14:paraId="68B8D76C">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5</w:t>
            </w:r>
          </w:p>
        </w:tc>
        <w:tc>
          <w:tcPr>
            <w:tcW w:w="3027" w:type="dxa"/>
            <w:tcBorders>
              <w:top w:val="single" w:color="auto" w:sz="4" w:space="0"/>
              <w:left w:val="single" w:color="auto" w:sz="4" w:space="0"/>
              <w:bottom w:val="single" w:color="auto" w:sz="4" w:space="0"/>
              <w:right w:val="single" w:color="auto" w:sz="4" w:space="0"/>
            </w:tcBorders>
            <w:noWrap w:val="0"/>
            <w:vAlign w:val="center"/>
          </w:tcPr>
          <w:p w14:paraId="25BA3593">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标本配送</w:t>
            </w:r>
          </w:p>
        </w:tc>
        <w:tc>
          <w:tcPr>
            <w:tcW w:w="2104" w:type="dxa"/>
            <w:tcBorders>
              <w:top w:val="single" w:color="auto" w:sz="4" w:space="0"/>
              <w:left w:val="single" w:color="auto" w:sz="4" w:space="0"/>
              <w:bottom w:val="single" w:color="auto" w:sz="4" w:space="0"/>
              <w:right w:val="single" w:color="auto" w:sz="4" w:space="0"/>
            </w:tcBorders>
            <w:noWrap w:val="0"/>
            <w:vAlign w:val="center"/>
          </w:tcPr>
          <w:p w14:paraId="5D7E7539">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shd w:val="clear" w:color="auto" w:fill="auto"/>
                <w:lang w:val="en-US" w:eastAsia="zh-CN" w:bidi="ar-SA"/>
              </w:rPr>
            </w:pPr>
            <w:r>
              <w:rPr>
                <w:rFonts w:hint="eastAsia" w:ascii="宋体" w:hAnsi="宋体" w:eastAsia="宋体" w:cs="宋体"/>
                <w:color w:val="000000"/>
                <w:kern w:val="2"/>
                <w:sz w:val="24"/>
                <w:szCs w:val="24"/>
                <w:highlight w:val="none"/>
                <w:shd w:val="clear" w:color="auto" w:fill="auto"/>
                <w:lang w:val="en-US" w:eastAsia="zh-CN" w:bidi="ar-SA"/>
              </w:rPr>
              <w:t>4人</w:t>
            </w:r>
          </w:p>
        </w:tc>
        <w:tc>
          <w:tcPr>
            <w:tcW w:w="3506" w:type="dxa"/>
            <w:tcBorders>
              <w:top w:val="single" w:color="auto" w:sz="4" w:space="0"/>
              <w:left w:val="single" w:color="auto" w:sz="4" w:space="0"/>
              <w:bottom w:val="single" w:color="auto" w:sz="4" w:space="0"/>
              <w:right w:val="single" w:color="auto" w:sz="4" w:space="0"/>
            </w:tcBorders>
            <w:noWrap w:val="0"/>
            <w:vAlign w:val="top"/>
          </w:tcPr>
          <w:p w14:paraId="653F1BF6">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医学相关专业中专及以上学历、2年及以上相关岗位工作经验、年龄≤45岁</w:t>
            </w:r>
          </w:p>
        </w:tc>
      </w:tr>
      <w:tr w14:paraId="2EDAF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818" w:type="dxa"/>
            <w:tcBorders>
              <w:top w:val="single" w:color="auto" w:sz="4" w:space="0"/>
              <w:left w:val="single" w:color="auto" w:sz="4" w:space="0"/>
              <w:bottom w:val="single" w:color="auto" w:sz="4" w:space="0"/>
              <w:right w:val="single" w:color="auto" w:sz="4" w:space="0"/>
            </w:tcBorders>
            <w:noWrap w:val="0"/>
            <w:vAlign w:val="center"/>
          </w:tcPr>
          <w:p w14:paraId="33E633FB">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6</w:t>
            </w:r>
          </w:p>
        </w:tc>
        <w:tc>
          <w:tcPr>
            <w:tcW w:w="3027" w:type="dxa"/>
            <w:tcBorders>
              <w:top w:val="single" w:color="auto" w:sz="4" w:space="0"/>
              <w:left w:val="single" w:color="auto" w:sz="4" w:space="0"/>
              <w:bottom w:val="single" w:color="auto" w:sz="4" w:space="0"/>
              <w:right w:val="single" w:color="auto" w:sz="4" w:space="0"/>
            </w:tcBorders>
            <w:noWrap w:val="0"/>
            <w:vAlign w:val="center"/>
          </w:tcPr>
          <w:p w14:paraId="221E9811">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驻科护理员</w:t>
            </w:r>
          </w:p>
        </w:tc>
        <w:tc>
          <w:tcPr>
            <w:tcW w:w="2104" w:type="dxa"/>
            <w:tcBorders>
              <w:top w:val="single" w:color="auto" w:sz="4" w:space="0"/>
              <w:left w:val="single" w:color="auto" w:sz="4" w:space="0"/>
              <w:bottom w:val="single" w:color="auto" w:sz="4" w:space="0"/>
              <w:right w:val="single" w:color="auto" w:sz="4" w:space="0"/>
            </w:tcBorders>
            <w:noWrap w:val="0"/>
            <w:vAlign w:val="center"/>
          </w:tcPr>
          <w:p w14:paraId="265BD7E1">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shd w:val="clear" w:color="auto" w:fill="auto"/>
                <w:lang w:val="en-US" w:eastAsia="zh-CN" w:bidi="ar-SA"/>
              </w:rPr>
            </w:pPr>
            <w:r>
              <w:rPr>
                <w:rFonts w:hint="eastAsia" w:ascii="宋体" w:hAnsi="宋体" w:eastAsia="宋体" w:cs="宋体"/>
                <w:color w:val="000000"/>
                <w:kern w:val="2"/>
                <w:sz w:val="24"/>
                <w:szCs w:val="24"/>
                <w:highlight w:val="none"/>
                <w:shd w:val="clear" w:color="auto" w:fill="auto"/>
                <w:lang w:val="en-US" w:eastAsia="zh-CN" w:bidi="ar-SA"/>
              </w:rPr>
              <w:t>2人</w:t>
            </w:r>
          </w:p>
        </w:tc>
        <w:tc>
          <w:tcPr>
            <w:tcW w:w="3506" w:type="dxa"/>
            <w:tcBorders>
              <w:top w:val="single" w:color="auto" w:sz="4" w:space="0"/>
              <w:left w:val="single" w:color="auto" w:sz="4" w:space="0"/>
              <w:bottom w:val="single" w:color="auto" w:sz="4" w:space="0"/>
              <w:right w:val="single" w:color="auto" w:sz="4" w:space="0"/>
            </w:tcBorders>
            <w:noWrap w:val="0"/>
            <w:vAlign w:val="top"/>
          </w:tcPr>
          <w:p w14:paraId="4E18051E">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护理相关专业或中专及以上学历、2年及以上相关岗位工作经验、年龄≤55岁</w:t>
            </w:r>
          </w:p>
        </w:tc>
      </w:tr>
      <w:tr w14:paraId="651B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 w:type="dxa"/>
            <w:tcBorders>
              <w:top w:val="single" w:color="auto" w:sz="4" w:space="0"/>
              <w:left w:val="single" w:color="auto" w:sz="4" w:space="0"/>
              <w:bottom w:val="single" w:color="auto" w:sz="4" w:space="0"/>
              <w:right w:val="single" w:color="auto" w:sz="4" w:space="0"/>
            </w:tcBorders>
            <w:noWrap w:val="0"/>
            <w:vAlign w:val="center"/>
          </w:tcPr>
          <w:p w14:paraId="7D23F57C">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7</w:t>
            </w:r>
          </w:p>
        </w:tc>
        <w:tc>
          <w:tcPr>
            <w:tcW w:w="3027" w:type="dxa"/>
            <w:tcBorders>
              <w:top w:val="single" w:color="auto" w:sz="4" w:space="0"/>
              <w:left w:val="single" w:color="auto" w:sz="4" w:space="0"/>
              <w:bottom w:val="single" w:color="auto" w:sz="4" w:space="0"/>
              <w:right w:val="single" w:color="auto" w:sz="4" w:space="0"/>
            </w:tcBorders>
            <w:noWrap w:val="0"/>
            <w:vAlign w:val="center"/>
          </w:tcPr>
          <w:p w14:paraId="35A66B50">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管理人员</w:t>
            </w:r>
          </w:p>
        </w:tc>
        <w:tc>
          <w:tcPr>
            <w:tcW w:w="2104" w:type="dxa"/>
            <w:tcBorders>
              <w:top w:val="single" w:color="auto" w:sz="4" w:space="0"/>
              <w:left w:val="single" w:color="auto" w:sz="4" w:space="0"/>
              <w:bottom w:val="single" w:color="auto" w:sz="4" w:space="0"/>
              <w:right w:val="single" w:color="auto" w:sz="4" w:space="0"/>
            </w:tcBorders>
            <w:noWrap w:val="0"/>
            <w:vAlign w:val="center"/>
          </w:tcPr>
          <w:p w14:paraId="24763ED2">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shd w:val="clear" w:color="auto" w:fill="auto"/>
                <w:lang w:val="en-US" w:eastAsia="zh-CN" w:bidi="ar-SA"/>
              </w:rPr>
            </w:pPr>
            <w:r>
              <w:rPr>
                <w:rFonts w:hint="eastAsia" w:ascii="宋体" w:hAnsi="宋体" w:eastAsia="宋体" w:cs="宋体"/>
                <w:color w:val="000000"/>
                <w:kern w:val="2"/>
                <w:sz w:val="24"/>
                <w:szCs w:val="24"/>
                <w:highlight w:val="none"/>
                <w:shd w:val="clear" w:color="auto" w:fill="auto"/>
                <w:lang w:val="en-US" w:eastAsia="zh-CN" w:bidi="ar-SA"/>
              </w:rPr>
              <w:t>1人</w:t>
            </w:r>
          </w:p>
        </w:tc>
        <w:tc>
          <w:tcPr>
            <w:tcW w:w="3506" w:type="dxa"/>
            <w:tcBorders>
              <w:top w:val="single" w:color="auto" w:sz="4" w:space="0"/>
              <w:left w:val="single" w:color="auto" w:sz="4" w:space="0"/>
              <w:bottom w:val="single" w:color="auto" w:sz="4" w:space="0"/>
              <w:right w:val="single" w:color="auto" w:sz="4" w:space="0"/>
            </w:tcBorders>
            <w:noWrap w:val="0"/>
            <w:vAlign w:val="top"/>
          </w:tcPr>
          <w:p w14:paraId="1F6BBD94">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医学相关专业大专及以上学历、2年及以上相关岗位工作经验、年龄≤50岁</w:t>
            </w:r>
          </w:p>
        </w:tc>
      </w:tr>
      <w:tr w14:paraId="26C29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5" w:type="dxa"/>
            <w:gridSpan w:val="4"/>
            <w:tcBorders>
              <w:top w:val="single" w:color="auto" w:sz="4" w:space="0"/>
              <w:left w:val="single" w:color="auto" w:sz="4" w:space="0"/>
              <w:bottom w:val="single" w:color="auto" w:sz="4" w:space="0"/>
              <w:right w:val="single" w:color="auto" w:sz="4" w:space="0"/>
            </w:tcBorders>
            <w:noWrap w:val="0"/>
            <w:vAlign w:val="top"/>
          </w:tcPr>
          <w:p w14:paraId="660870C1">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合计：19人</w:t>
            </w:r>
          </w:p>
        </w:tc>
      </w:tr>
    </w:tbl>
    <w:p w14:paraId="052EA92C">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Times New Roman"/>
          <w:b/>
          <w:bCs/>
          <w:color w:val="000000"/>
          <w:kern w:val="2"/>
          <w:sz w:val="24"/>
          <w:szCs w:val="28"/>
          <w:highlight w:val="none"/>
          <w:lang w:val="en-US" w:eastAsia="zh-CN" w:bidi="ar-SA"/>
        </w:rPr>
      </w:pPr>
      <w:r>
        <w:rPr>
          <w:rFonts w:hint="eastAsia" w:ascii="宋体" w:hAnsi="宋体" w:eastAsia="宋体" w:cs="Times New Roman"/>
          <w:b/>
          <w:bCs/>
          <w:color w:val="000000"/>
          <w:kern w:val="2"/>
          <w:sz w:val="24"/>
          <w:szCs w:val="28"/>
          <w:highlight w:val="none"/>
          <w:lang w:val="en-US" w:eastAsia="zh-CN" w:bidi="ar-SA"/>
        </w:rPr>
        <w:t>2</w:t>
      </w:r>
      <w:r>
        <w:rPr>
          <w:rFonts w:ascii="宋体" w:hAnsi="宋体" w:eastAsia="宋体" w:cs="Times New Roman"/>
          <w:b/>
          <w:bCs/>
          <w:color w:val="000000"/>
          <w:kern w:val="2"/>
          <w:sz w:val="24"/>
          <w:szCs w:val="28"/>
          <w:highlight w:val="none"/>
          <w:lang w:val="en-US" w:eastAsia="zh-CN" w:bidi="ar-SA"/>
        </w:rPr>
        <w:t>.</w:t>
      </w:r>
      <w:r>
        <w:rPr>
          <w:rFonts w:hint="eastAsia" w:ascii="宋体" w:hAnsi="宋体" w:eastAsia="宋体" w:cs="Times New Roman"/>
          <w:b/>
          <w:bCs/>
          <w:color w:val="000000"/>
          <w:kern w:val="2"/>
          <w:sz w:val="24"/>
          <w:szCs w:val="28"/>
          <w:highlight w:val="none"/>
          <w:lang w:val="en-US" w:eastAsia="zh-CN" w:bidi="ar-SA"/>
        </w:rPr>
        <w:t>运送服务</w:t>
      </w:r>
    </w:p>
    <w:p w14:paraId="5230088B">
      <w:pPr>
        <w:pageBreakBefore w:val="0"/>
        <w:widowControl/>
        <w:kinsoku/>
        <w:wordWrap/>
        <w:overflowPunct/>
        <w:topLinePunct w:val="0"/>
        <w:bidi w:val="0"/>
        <w:adjustRightInd w:val="0"/>
        <w:snapToGrid w:val="0"/>
        <w:spacing w:line="360" w:lineRule="auto"/>
        <w:textAlignment w:val="auto"/>
        <w:rPr>
          <w:rFonts w:hint="eastAsia" w:ascii="宋体" w:hAnsi="宋体" w:eastAsia="宋体"/>
          <w:color w:val="000000"/>
          <w:kern w:val="0"/>
          <w:sz w:val="24"/>
          <w:highlight w:val="none"/>
        </w:rPr>
      </w:pPr>
      <w:r>
        <w:rPr>
          <w:rFonts w:hint="eastAsia" w:ascii="宋体" w:hAnsi="宋体" w:eastAsia="宋体"/>
          <w:color w:val="000000"/>
          <w:kern w:val="0"/>
          <w:sz w:val="24"/>
          <w:highlight w:val="none"/>
        </w:rPr>
        <w:t>2</w:t>
      </w:r>
      <w:r>
        <w:rPr>
          <w:rFonts w:ascii="宋体" w:hAnsi="宋体" w:eastAsia="宋体"/>
          <w:color w:val="000000"/>
          <w:kern w:val="0"/>
          <w:sz w:val="24"/>
          <w:highlight w:val="none"/>
        </w:rPr>
        <w:t>.1</w:t>
      </w:r>
      <w:r>
        <w:rPr>
          <w:rFonts w:ascii="宋体" w:hAnsi="宋体" w:eastAsia="宋体"/>
          <w:color w:val="000000"/>
          <w:kern w:val="0"/>
          <w:sz w:val="24"/>
          <w:highlight w:val="none"/>
          <w:u w:val="single"/>
        </w:rPr>
        <w:t>人员配置</w:t>
      </w:r>
      <w:r>
        <w:rPr>
          <w:rFonts w:ascii="宋体" w:hAnsi="宋体" w:eastAsia="宋体"/>
          <w:color w:val="000000"/>
          <w:kern w:val="0"/>
          <w:sz w:val="24"/>
          <w:highlight w:val="none"/>
        </w:rPr>
        <w:t>：员工</w:t>
      </w:r>
      <w:r>
        <w:rPr>
          <w:rFonts w:hint="eastAsia" w:ascii="宋体" w:hAnsi="宋体"/>
          <w:color w:val="000000"/>
          <w:kern w:val="0"/>
          <w:sz w:val="24"/>
          <w:highlight w:val="none"/>
          <w:u w:val="single"/>
          <w:lang w:val="en-US" w:eastAsia="zh-CN"/>
        </w:rPr>
        <w:t>19</w:t>
      </w:r>
      <w:r>
        <w:rPr>
          <w:rFonts w:hint="eastAsia" w:ascii="宋体" w:hAnsi="宋体" w:eastAsia="宋体"/>
          <w:color w:val="000000"/>
          <w:kern w:val="0"/>
          <w:sz w:val="24"/>
          <w:highlight w:val="none"/>
        </w:rPr>
        <w:t>人，具体分工见上表。</w:t>
      </w:r>
    </w:p>
    <w:p w14:paraId="12CD6C40">
      <w:pPr>
        <w:pageBreakBefore w:val="0"/>
        <w:widowControl/>
        <w:kinsoku/>
        <w:wordWrap/>
        <w:overflowPunct/>
        <w:topLinePunct w:val="0"/>
        <w:bidi w:val="0"/>
        <w:adjustRightInd w:val="0"/>
        <w:snapToGrid w:val="0"/>
        <w:spacing w:line="360" w:lineRule="auto"/>
        <w:textAlignment w:val="auto"/>
        <w:rPr>
          <w:rFonts w:hint="eastAsia" w:ascii="宋体" w:hAnsi="宋体" w:eastAsia="宋体"/>
          <w:color w:val="000000"/>
          <w:kern w:val="0"/>
          <w:sz w:val="24"/>
          <w:highlight w:val="none"/>
        </w:rPr>
      </w:pPr>
      <w:r>
        <w:rPr>
          <w:rFonts w:hint="eastAsia" w:ascii="宋体" w:hAnsi="宋体" w:eastAsia="宋体"/>
          <w:color w:val="000000"/>
          <w:kern w:val="0"/>
          <w:sz w:val="24"/>
          <w:highlight w:val="none"/>
        </w:rPr>
        <w:t>2</w:t>
      </w:r>
      <w:r>
        <w:rPr>
          <w:rFonts w:ascii="宋体" w:hAnsi="宋体" w:eastAsia="宋体"/>
          <w:color w:val="000000"/>
          <w:kern w:val="0"/>
          <w:sz w:val="24"/>
          <w:highlight w:val="none"/>
        </w:rPr>
        <w:t>.2</w:t>
      </w:r>
      <w:r>
        <w:rPr>
          <w:rFonts w:ascii="宋体" w:hAnsi="宋体" w:eastAsia="宋体"/>
          <w:color w:val="000000"/>
          <w:kern w:val="0"/>
          <w:sz w:val="24"/>
          <w:highlight w:val="none"/>
          <w:u w:val="single"/>
        </w:rPr>
        <w:t>服务区域</w:t>
      </w:r>
      <w:r>
        <w:rPr>
          <w:rFonts w:ascii="宋体" w:hAnsi="宋体" w:eastAsia="宋体"/>
          <w:color w:val="000000"/>
          <w:kern w:val="0"/>
          <w:sz w:val="24"/>
          <w:highlight w:val="none"/>
        </w:rPr>
        <w:t>：</w:t>
      </w:r>
      <w:r>
        <w:rPr>
          <w:rFonts w:hint="eastAsia" w:ascii="宋体" w:hAnsi="宋体" w:eastAsia="宋体"/>
          <w:color w:val="000000"/>
          <w:kern w:val="0"/>
          <w:sz w:val="24"/>
          <w:highlight w:val="none"/>
        </w:rPr>
        <w:t>各科</w:t>
      </w:r>
      <w:r>
        <w:rPr>
          <w:rFonts w:ascii="宋体" w:hAnsi="宋体" w:eastAsia="宋体"/>
          <w:color w:val="000000"/>
          <w:kern w:val="0"/>
          <w:sz w:val="24"/>
          <w:highlight w:val="none"/>
        </w:rPr>
        <w:t>室。</w:t>
      </w:r>
    </w:p>
    <w:p w14:paraId="78FC7253">
      <w:pPr>
        <w:pageBreakBefore w:val="0"/>
        <w:widowControl/>
        <w:kinsoku/>
        <w:wordWrap/>
        <w:overflowPunct/>
        <w:topLinePunct w:val="0"/>
        <w:bidi w:val="0"/>
        <w:adjustRightInd w:val="0"/>
        <w:snapToGrid w:val="0"/>
        <w:spacing w:line="360" w:lineRule="auto"/>
        <w:textAlignment w:val="auto"/>
        <w:rPr>
          <w:rFonts w:hint="eastAsia" w:ascii="宋体" w:hAnsi="宋体" w:eastAsia="宋体"/>
          <w:color w:val="000000"/>
          <w:kern w:val="0"/>
          <w:sz w:val="24"/>
          <w:highlight w:val="none"/>
        </w:rPr>
      </w:pPr>
      <w:r>
        <w:rPr>
          <w:rFonts w:hint="eastAsia" w:ascii="宋体" w:hAnsi="宋体" w:eastAsia="宋体"/>
          <w:color w:val="000000"/>
          <w:kern w:val="0"/>
          <w:sz w:val="24"/>
          <w:highlight w:val="none"/>
        </w:rPr>
        <w:t>2</w:t>
      </w:r>
      <w:r>
        <w:rPr>
          <w:rFonts w:ascii="宋体" w:hAnsi="宋体" w:eastAsia="宋体"/>
          <w:color w:val="000000"/>
          <w:kern w:val="0"/>
          <w:sz w:val="24"/>
          <w:highlight w:val="none"/>
        </w:rPr>
        <w:t>.3</w:t>
      </w:r>
      <w:r>
        <w:rPr>
          <w:rFonts w:hint="eastAsia" w:ascii="宋体" w:hAnsi="宋体" w:eastAsia="宋体"/>
          <w:color w:val="000000"/>
          <w:kern w:val="0"/>
          <w:sz w:val="24"/>
          <w:highlight w:val="none"/>
          <w:u w:val="single"/>
        </w:rPr>
        <w:t>运营模式</w:t>
      </w:r>
      <w:r>
        <w:rPr>
          <w:rFonts w:ascii="宋体" w:hAnsi="宋体" w:eastAsia="宋体"/>
          <w:color w:val="000000"/>
          <w:kern w:val="0"/>
          <w:sz w:val="24"/>
          <w:highlight w:val="none"/>
        </w:rPr>
        <w:t>：</w:t>
      </w:r>
    </w:p>
    <w:p w14:paraId="14EA0787">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Times New Roman"/>
          <w:color w:val="000000"/>
          <w:kern w:val="0"/>
          <w:sz w:val="24"/>
          <w:szCs w:val="28"/>
          <w:highlight w:val="none"/>
          <w:lang w:val="en-US" w:eastAsia="zh-CN" w:bidi="ar-SA"/>
        </w:rPr>
      </w:pPr>
      <w:r>
        <w:rPr>
          <w:rFonts w:hint="eastAsia" w:ascii="宋体" w:hAnsi="宋体" w:eastAsia="宋体" w:cs="Times New Roman"/>
          <w:color w:val="000000"/>
          <w:kern w:val="0"/>
          <w:sz w:val="24"/>
          <w:szCs w:val="28"/>
          <w:highlight w:val="none"/>
          <w:lang w:val="en-US" w:eastAsia="zh-CN" w:bidi="ar-SA"/>
        </w:rPr>
        <w:t>2.3.1</w:t>
      </w:r>
      <w:r>
        <w:rPr>
          <w:rFonts w:hint="eastAsia" w:ascii="宋体" w:hAnsi="宋体" w:eastAsia="宋体" w:cs="Times New Roman"/>
          <w:color w:val="000000"/>
          <w:kern w:val="0"/>
          <w:sz w:val="24"/>
          <w:szCs w:val="28"/>
          <w:highlight w:val="none"/>
          <w:u w:val="single"/>
          <w:lang w:val="en-US" w:eastAsia="zh-CN" w:bidi="ar-SA"/>
        </w:rPr>
        <w:t xml:space="preserve">一站式调度服务中心 </w:t>
      </w:r>
      <w:r>
        <w:rPr>
          <w:rFonts w:hint="eastAsia" w:ascii="宋体" w:hAnsi="宋体" w:eastAsia="宋体" w:cs="Times New Roman"/>
          <w:color w:val="000000"/>
          <w:kern w:val="0"/>
          <w:sz w:val="24"/>
          <w:szCs w:val="28"/>
          <w:highlight w:val="none"/>
          <w:lang w:val="en-US" w:eastAsia="zh-CN" w:bidi="ar-SA"/>
        </w:rPr>
        <w:t>：“一站式服务中心 ”24 小时全天开放。</w:t>
      </w:r>
    </w:p>
    <w:p w14:paraId="18C4EF80">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Times New Roman"/>
          <w:color w:val="000000"/>
          <w:kern w:val="0"/>
          <w:sz w:val="24"/>
          <w:szCs w:val="28"/>
          <w:highlight w:val="none"/>
          <w:lang w:val="en-US" w:eastAsia="zh-CN" w:bidi="ar-SA"/>
        </w:rPr>
      </w:pPr>
      <w:r>
        <w:rPr>
          <w:rFonts w:hint="eastAsia" w:ascii="宋体" w:hAnsi="宋体" w:eastAsia="宋体" w:cs="Times New Roman"/>
          <w:color w:val="000000"/>
          <w:kern w:val="0"/>
          <w:sz w:val="24"/>
          <w:szCs w:val="28"/>
          <w:highlight w:val="none"/>
          <w:lang w:val="en-US" w:eastAsia="zh-CN" w:bidi="ar-SA"/>
        </w:rPr>
        <w:t>2.3.2</w:t>
      </w:r>
      <w:r>
        <w:rPr>
          <w:rFonts w:hint="eastAsia" w:ascii="宋体" w:hAnsi="宋体" w:eastAsia="宋体" w:cs="Times New Roman"/>
          <w:color w:val="000000"/>
          <w:kern w:val="0"/>
          <w:sz w:val="24"/>
          <w:szCs w:val="28"/>
          <w:highlight w:val="none"/>
          <w:u w:val="single"/>
          <w:lang w:val="en-US" w:eastAsia="zh-CN" w:bidi="ar-SA"/>
        </w:rPr>
        <w:t>工作机制</w:t>
      </w:r>
      <w:r>
        <w:rPr>
          <w:rFonts w:hint="eastAsia" w:ascii="宋体" w:hAnsi="宋体" w:eastAsia="宋体" w:cs="Times New Roman"/>
          <w:color w:val="000000"/>
          <w:kern w:val="0"/>
          <w:sz w:val="24"/>
          <w:szCs w:val="28"/>
          <w:highlight w:val="none"/>
          <w:lang w:val="en-US" w:eastAsia="zh-CN" w:bidi="ar-SA"/>
        </w:rPr>
        <w:t xml:space="preserve">：固定任务派单制+临时任务抢单制。 </w:t>
      </w:r>
    </w:p>
    <w:p w14:paraId="0B691202">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Times New Roman"/>
          <w:color w:val="000000"/>
          <w:kern w:val="0"/>
          <w:sz w:val="24"/>
          <w:szCs w:val="28"/>
          <w:highlight w:val="none"/>
          <w:lang w:val="en-US" w:eastAsia="zh-CN" w:bidi="ar-SA"/>
        </w:rPr>
      </w:pPr>
      <w:r>
        <w:rPr>
          <w:rFonts w:hint="eastAsia" w:ascii="宋体" w:hAnsi="宋体" w:eastAsia="宋体" w:cs="Times New Roman"/>
          <w:color w:val="000000"/>
          <w:kern w:val="0"/>
          <w:sz w:val="24"/>
          <w:szCs w:val="28"/>
          <w:highlight w:val="none"/>
          <w:lang w:val="en-US" w:eastAsia="zh-CN" w:bidi="ar-SA"/>
        </w:rPr>
        <w:t xml:space="preserve">2.3.2.1智能化平台运作模式 （1）科室端：各科室可以通过 PC 机、手机 APP 终端系统直接下达任务，信息准确且不会占线，同时可使用终端系统跟踪任务状态，催促延时任务信息。可从系统随时查看科室临床支持服务工作量，便于成本分析和核算。（2）管理部门：管理部门可以通过 PC 机、手机随时查看工作任务信息，统计各部门数据。随时监测任务数据，管控任务进程和风险。（3）调度中心：调度人员在收到任务信息及时调度任务，分派给运送员。系统提供任务发送给运送员，并进行提醒；实时显示运送员状态，包括在岗信息，最近位置，当前是否有运送任务，是否有循环任务，以及今日工作量等。（4）运送中心：工作人员接到调度中心指派的任务信息，及时到达指定的任务地点，及时处理相应工作任务。 任务由调度中心统一分配，系统智能识别，工作终端随时查看，无需额外记录。每一步工作通过一次扫描二维码记录，自动识别任务进度，无需人工报告。工作量、任务权重清清楚楚，随时可查看自己的工作统计，薪酬与工作量、工作质量挂钩，多劳多得。 </w:t>
      </w:r>
    </w:p>
    <w:p w14:paraId="2FE0C337">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Times New Roman"/>
          <w:color w:val="000000"/>
          <w:kern w:val="0"/>
          <w:sz w:val="24"/>
          <w:szCs w:val="28"/>
          <w:highlight w:val="none"/>
          <w:lang w:val="en-US" w:eastAsia="zh-CN" w:bidi="ar-SA"/>
        </w:rPr>
      </w:pPr>
      <w:r>
        <w:rPr>
          <w:rFonts w:hint="eastAsia" w:ascii="宋体" w:hAnsi="宋体" w:eastAsia="宋体" w:cs="Times New Roman"/>
          <w:color w:val="000000"/>
          <w:kern w:val="0"/>
          <w:sz w:val="24"/>
          <w:szCs w:val="28"/>
          <w:highlight w:val="none"/>
          <w:lang w:val="en-US" w:eastAsia="zh-CN" w:bidi="ar-SA"/>
        </w:rPr>
        <w:t>2.3.2.2完成任务的方式：（1）滴滴抢单方式，第三方员工通过手机 APP 应用平台，由科室端发出任务指令，按负责区域接受任务，并快速的抢单执行完成。 护士站通过系统，对每单任务的完成情况，可进行标准评分，第三方员工可以通过任务完成的多少情况，进行每月汇总的绩效体现，实现多劳多得的派工机制。 （2）调度派单方式：调度人员在收到任务信息及时调度任务，分派给员工，并进行提醒。无需在纸上记录任务信息，所有任务都在系统中记录，随时待查，清晰准确。实时显示第三方员工状态，包括在岗信息，最近位置，当前是否有运送任务，是否有固定任务，以及今日工作量等。</w:t>
      </w:r>
    </w:p>
    <w:p w14:paraId="3BF561E7">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Times New Roman"/>
          <w:color w:val="000000"/>
          <w:kern w:val="2"/>
          <w:sz w:val="24"/>
          <w:szCs w:val="28"/>
          <w:highlight w:val="none"/>
          <w:lang w:val="en-US" w:eastAsia="zh-CN" w:bidi="ar-SA"/>
        </w:rPr>
      </w:pPr>
      <w:r>
        <w:rPr>
          <w:rFonts w:hint="eastAsia" w:ascii="宋体" w:hAnsi="宋体" w:eastAsia="宋体" w:cs="Times New Roman"/>
          <w:color w:val="000000"/>
          <w:kern w:val="2"/>
          <w:sz w:val="24"/>
          <w:szCs w:val="28"/>
          <w:highlight w:val="none"/>
          <w:u w:val="single"/>
          <w:lang w:val="en-US" w:eastAsia="zh-CN" w:bidi="ar-SA"/>
        </w:rPr>
        <w:t>2.4 标准</w:t>
      </w:r>
      <w:r>
        <w:rPr>
          <w:rFonts w:hint="eastAsia" w:ascii="宋体" w:hAnsi="宋体" w:eastAsia="宋体" w:cs="Times New Roman"/>
          <w:color w:val="000000"/>
          <w:kern w:val="2"/>
          <w:sz w:val="24"/>
          <w:szCs w:val="28"/>
          <w:highlight w:val="none"/>
          <w:lang w:val="en-US" w:eastAsia="zh-CN" w:bidi="ar-SA"/>
        </w:rPr>
        <w:t>：按照（第8条：服务内容与质量标准）</w:t>
      </w:r>
    </w:p>
    <w:p w14:paraId="48611134">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5F0EE1D7">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1C480482">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41EE399E">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6831BE76">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50137B8D">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2A759691">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34EF890C">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50CEA39D">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p>
    <w:p w14:paraId="3154E61F">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Cs/>
          <w:color w:val="000000"/>
          <w:sz w:val="24"/>
          <w:highlight w:val="none"/>
        </w:rPr>
      </w:pPr>
      <w:r>
        <w:rPr>
          <w:rFonts w:ascii="宋体" w:hAnsi="宋体" w:eastAsia="宋体"/>
          <w:b/>
          <w:color w:val="000000"/>
          <w:sz w:val="24"/>
          <w:highlight w:val="none"/>
        </w:rPr>
        <w:t>附件</w:t>
      </w:r>
      <w:r>
        <w:rPr>
          <w:rFonts w:hint="eastAsia" w:ascii="宋体" w:hAnsi="宋体" w:eastAsia="宋体"/>
          <w:b/>
          <w:color w:val="000000"/>
          <w:sz w:val="24"/>
          <w:highlight w:val="none"/>
        </w:rPr>
        <w:t>B</w:t>
      </w:r>
      <w:r>
        <w:rPr>
          <w:rFonts w:ascii="宋体" w:hAnsi="宋体" w:eastAsia="宋体"/>
          <w:b/>
          <w:color w:val="000000"/>
          <w:sz w:val="24"/>
          <w:highlight w:val="none"/>
        </w:rPr>
        <w:t>：</w:t>
      </w:r>
      <w:r>
        <w:rPr>
          <w:rFonts w:hint="eastAsia" w:ascii="宋体" w:hAnsi="宋体" w:eastAsia="宋体"/>
          <w:b/>
          <w:color w:val="000000"/>
          <w:sz w:val="24"/>
          <w:highlight w:val="none"/>
        </w:rPr>
        <w:t>西安市第五医院患者服务管理中心工作</w:t>
      </w:r>
      <w:r>
        <w:rPr>
          <w:rFonts w:ascii="宋体" w:hAnsi="宋体" w:eastAsia="宋体"/>
          <w:b/>
          <w:bCs/>
          <w:color w:val="000000"/>
          <w:sz w:val="24"/>
          <w:highlight w:val="none"/>
        </w:rPr>
        <w:t>考核标准及考核办法</w:t>
      </w:r>
    </w:p>
    <w:p w14:paraId="5BCCE9AE">
      <w:pPr>
        <w:pageBreakBefore w:val="0"/>
        <w:kinsoku/>
        <w:wordWrap/>
        <w:overflowPunct/>
        <w:topLinePunct w:val="0"/>
        <w:bidi w:val="0"/>
        <w:adjustRightInd w:val="0"/>
        <w:snapToGrid w:val="0"/>
        <w:spacing w:after="120" w:afterLines="50" w:line="360" w:lineRule="auto"/>
        <w:ind w:firstLine="480" w:firstLineChars="200"/>
        <w:jc w:val="left"/>
        <w:textAlignment w:val="auto"/>
        <w:rPr>
          <w:rFonts w:ascii="宋体" w:hAnsi="宋体" w:eastAsia="宋体"/>
          <w:bCs/>
          <w:color w:val="000000"/>
          <w:sz w:val="24"/>
          <w:highlight w:val="none"/>
        </w:rPr>
      </w:pPr>
      <w:r>
        <w:rPr>
          <w:rFonts w:ascii="宋体" w:hAnsi="宋体" w:eastAsia="宋体"/>
          <w:bCs/>
          <w:color w:val="000000"/>
          <w:sz w:val="24"/>
          <w:highlight w:val="none"/>
        </w:rPr>
        <w:t>为加大对</w:t>
      </w:r>
      <w:r>
        <w:rPr>
          <w:rFonts w:hint="eastAsia" w:ascii="宋体" w:hAnsi="宋体" w:eastAsia="宋体"/>
          <w:bCs/>
          <w:color w:val="000000"/>
          <w:sz w:val="24"/>
          <w:highlight w:val="none"/>
        </w:rPr>
        <w:t>患者服务管理中心项目的</w:t>
      </w:r>
      <w:r>
        <w:rPr>
          <w:rFonts w:ascii="宋体" w:hAnsi="宋体" w:eastAsia="宋体"/>
          <w:bCs/>
          <w:color w:val="000000"/>
          <w:sz w:val="24"/>
          <w:highlight w:val="none"/>
        </w:rPr>
        <w:t>管理及考核力度，保证各项工作及时到位，为病友提供规范、优质服务，依据《</w:t>
      </w:r>
      <w:r>
        <w:rPr>
          <w:rFonts w:hint="eastAsia" w:ascii="宋体" w:hAnsi="宋体" w:eastAsia="宋体"/>
          <w:bCs/>
          <w:color w:val="000000"/>
          <w:sz w:val="24"/>
          <w:highlight w:val="none"/>
        </w:rPr>
        <w:t>西安市第五医院患者服务管理中心</w:t>
      </w:r>
      <w:r>
        <w:rPr>
          <w:rFonts w:ascii="宋体" w:hAnsi="宋体" w:eastAsia="宋体"/>
          <w:bCs/>
          <w:color w:val="000000"/>
          <w:sz w:val="24"/>
          <w:highlight w:val="none"/>
        </w:rPr>
        <w:t>合同</w:t>
      </w:r>
      <w:r>
        <w:rPr>
          <w:rFonts w:hint="eastAsia" w:ascii="宋体" w:hAnsi="宋体" w:eastAsia="宋体"/>
          <w:bCs/>
          <w:color w:val="000000"/>
          <w:sz w:val="24"/>
          <w:highlight w:val="none"/>
        </w:rPr>
        <w:t>书</w:t>
      </w:r>
      <w:r>
        <w:rPr>
          <w:rFonts w:ascii="宋体" w:hAnsi="宋体" w:eastAsia="宋体"/>
          <w:bCs/>
          <w:color w:val="000000"/>
          <w:sz w:val="24"/>
          <w:highlight w:val="none"/>
        </w:rPr>
        <w:t>》，结合工作实际，特制定本办法。</w:t>
      </w:r>
    </w:p>
    <w:p w14:paraId="0A4F7CBA">
      <w:pPr>
        <w:pageBreakBefore w:val="0"/>
        <w:numPr>
          <w:ilvl w:val="0"/>
          <w:numId w:val="1"/>
        </w:numPr>
        <w:kinsoku/>
        <w:wordWrap/>
        <w:overflowPunct/>
        <w:topLinePunct w:val="0"/>
        <w:bidi w:val="0"/>
        <w:adjustRightInd w:val="0"/>
        <w:snapToGrid w:val="0"/>
        <w:spacing w:line="360" w:lineRule="auto"/>
        <w:textAlignment w:val="auto"/>
        <w:rPr>
          <w:rFonts w:ascii="宋体" w:hAnsi="宋体" w:eastAsia="宋体"/>
          <w:bCs/>
          <w:color w:val="000000"/>
          <w:sz w:val="24"/>
          <w:highlight w:val="none"/>
        </w:rPr>
      </w:pPr>
      <w:r>
        <w:rPr>
          <w:rFonts w:ascii="宋体" w:hAnsi="宋体" w:eastAsia="宋体"/>
          <w:bCs/>
          <w:color w:val="000000"/>
          <w:sz w:val="24"/>
          <w:highlight w:val="none"/>
        </w:rPr>
        <w:t>医院成立考核机构</w:t>
      </w:r>
    </w:p>
    <w:p w14:paraId="341F8A45">
      <w:pPr>
        <w:pageBreakBefore w:val="0"/>
        <w:kinsoku/>
        <w:wordWrap/>
        <w:overflowPunct/>
        <w:topLinePunct w:val="0"/>
        <w:bidi w:val="0"/>
        <w:adjustRightInd w:val="0"/>
        <w:snapToGrid w:val="0"/>
        <w:spacing w:line="360" w:lineRule="auto"/>
        <w:ind w:firstLine="480" w:firstLineChars="200"/>
        <w:textAlignment w:val="auto"/>
        <w:rPr>
          <w:rFonts w:ascii="宋体" w:hAnsi="宋体" w:eastAsia="宋体"/>
          <w:bCs/>
          <w:color w:val="000000"/>
          <w:sz w:val="24"/>
          <w:highlight w:val="none"/>
        </w:rPr>
      </w:pPr>
      <w:r>
        <w:rPr>
          <w:rFonts w:ascii="宋体" w:hAnsi="宋体" w:eastAsia="宋体"/>
          <w:bCs/>
          <w:color w:val="000000"/>
          <w:sz w:val="24"/>
          <w:highlight w:val="none"/>
        </w:rPr>
        <w:t>由医院</w:t>
      </w:r>
      <w:r>
        <w:rPr>
          <w:rFonts w:hint="eastAsia" w:ascii="宋体" w:hAnsi="宋体" w:eastAsia="宋体"/>
          <w:bCs/>
          <w:color w:val="000000"/>
          <w:sz w:val="24"/>
          <w:highlight w:val="none"/>
        </w:rPr>
        <w:t>监管部门</w:t>
      </w:r>
      <w:r>
        <w:rPr>
          <w:rFonts w:ascii="宋体" w:hAnsi="宋体" w:eastAsia="宋体"/>
          <w:bCs/>
          <w:color w:val="000000"/>
          <w:sz w:val="24"/>
          <w:highlight w:val="none"/>
        </w:rPr>
        <w:t>每月</w:t>
      </w:r>
      <w:r>
        <w:rPr>
          <w:rFonts w:hint="eastAsia" w:ascii="宋体" w:hAnsi="宋体" w:eastAsia="宋体"/>
          <w:bCs/>
          <w:color w:val="000000"/>
          <w:sz w:val="24"/>
          <w:highlight w:val="none"/>
        </w:rPr>
        <w:t>对</w:t>
      </w:r>
      <w:r>
        <w:rPr>
          <w:rFonts w:hint="eastAsia" w:ascii="宋体" w:hAnsi="宋体"/>
          <w:bCs/>
          <w:color w:val="000000"/>
          <w:sz w:val="24"/>
          <w:highlight w:val="none"/>
          <w:lang w:eastAsia="zh-CN"/>
        </w:rPr>
        <w:t>乙方</w:t>
      </w:r>
      <w:r>
        <w:rPr>
          <w:rFonts w:hint="eastAsia" w:ascii="宋体" w:hAnsi="宋体" w:eastAsia="宋体"/>
          <w:bCs/>
          <w:color w:val="000000"/>
          <w:sz w:val="24"/>
          <w:highlight w:val="none"/>
        </w:rPr>
        <w:t>工作情况进行考核</w:t>
      </w:r>
      <w:r>
        <w:rPr>
          <w:rFonts w:ascii="宋体" w:hAnsi="宋体" w:eastAsia="宋体"/>
          <w:bCs/>
          <w:color w:val="000000"/>
          <w:sz w:val="24"/>
          <w:highlight w:val="none"/>
        </w:rPr>
        <w:t>。</w:t>
      </w:r>
    </w:p>
    <w:p w14:paraId="68D0F7A1">
      <w:pPr>
        <w:pageBreakBefore w:val="0"/>
        <w:numPr>
          <w:ilvl w:val="0"/>
          <w:numId w:val="1"/>
        </w:numPr>
        <w:kinsoku/>
        <w:wordWrap/>
        <w:overflowPunct/>
        <w:topLinePunct w:val="0"/>
        <w:bidi w:val="0"/>
        <w:adjustRightInd w:val="0"/>
        <w:snapToGrid w:val="0"/>
        <w:spacing w:line="360" w:lineRule="auto"/>
        <w:textAlignment w:val="auto"/>
        <w:rPr>
          <w:rFonts w:ascii="宋体" w:hAnsi="宋体" w:eastAsia="宋体"/>
          <w:bCs/>
          <w:color w:val="000000"/>
          <w:sz w:val="24"/>
          <w:highlight w:val="none"/>
        </w:rPr>
      </w:pPr>
      <w:r>
        <w:rPr>
          <w:rFonts w:ascii="宋体" w:hAnsi="宋体" w:eastAsia="宋体"/>
          <w:bCs/>
          <w:color w:val="000000"/>
          <w:sz w:val="24"/>
          <w:highlight w:val="none"/>
        </w:rPr>
        <w:t>考核范围与要求</w:t>
      </w:r>
    </w:p>
    <w:p w14:paraId="3DE93DCF">
      <w:pPr>
        <w:pageBreakBefore w:val="0"/>
        <w:kinsoku/>
        <w:wordWrap/>
        <w:overflowPunct/>
        <w:topLinePunct w:val="0"/>
        <w:bidi w:val="0"/>
        <w:adjustRightInd w:val="0"/>
        <w:snapToGrid w:val="0"/>
        <w:spacing w:line="360" w:lineRule="auto"/>
        <w:ind w:firstLine="360" w:firstLineChars="150"/>
        <w:textAlignment w:val="auto"/>
        <w:rPr>
          <w:rFonts w:ascii="宋体" w:hAnsi="宋体" w:eastAsia="宋体"/>
          <w:bCs/>
          <w:color w:val="000000"/>
          <w:sz w:val="24"/>
          <w:highlight w:val="none"/>
        </w:rPr>
      </w:pPr>
      <w:r>
        <w:rPr>
          <w:rFonts w:hint="eastAsia" w:ascii="宋体" w:hAnsi="宋体" w:eastAsia="宋体"/>
          <w:bCs/>
          <w:color w:val="000000"/>
          <w:sz w:val="24"/>
          <w:highlight w:val="none"/>
        </w:rPr>
        <w:t>运送</w:t>
      </w:r>
      <w:r>
        <w:rPr>
          <w:rFonts w:ascii="宋体" w:hAnsi="宋体" w:eastAsia="宋体"/>
          <w:bCs/>
          <w:color w:val="000000"/>
          <w:sz w:val="24"/>
          <w:highlight w:val="none"/>
        </w:rPr>
        <w:t>服务：及时</w:t>
      </w:r>
      <w:r>
        <w:rPr>
          <w:rFonts w:hint="eastAsia" w:ascii="宋体" w:hAnsi="宋体" w:eastAsia="宋体"/>
          <w:bCs/>
          <w:color w:val="000000"/>
          <w:sz w:val="24"/>
          <w:highlight w:val="none"/>
        </w:rPr>
        <w:t>、</w:t>
      </w:r>
      <w:r>
        <w:rPr>
          <w:rFonts w:ascii="宋体" w:hAnsi="宋体" w:eastAsia="宋体"/>
          <w:bCs/>
          <w:color w:val="000000"/>
          <w:sz w:val="24"/>
          <w:highlight w:val="none"/>
        </w:rPr>
        <w:t>认真完成</w:t>
      </w:r>
      <w:r>
        <w:rPr>
          <w:rFonts w:hint="eastAsia" w:ascii="宋体" w:hAnsi="宋体" w:eastAsia="宋体"/>
          <w:bCs/>
          <w:color w:val="000000"/>
          <w:sz w:val="24"/>
          <w:highlight w:val="none"/>
        </w:rPr>
        <w:t>各类物资</w:t>
      </w:r>
      <w:r>
        <w:rPr>
          <w:rFonts w:ascii="宋体" w:hAnsi="宋体" w:eastAsia="宋体"/>
          <w:bCs/>
          <w:color w:val="000000"/>
          <w:sz w:val="24"/>
          <w:highlight w:val="none"/>
        </w:rPr>
        <w:t>的取送、服务工作。</w:t>
      </w:r>
      <w:r>
        <w:rPr>
          <w:rFonts w:hint="eastAsia" w:ascii="宋体" w:hAnsi="宋体" w:eastAsia="宋体"/>
          <w:bCs/>
          <w:color w:val="000000"/>
          <w:sz w:val="24"/>
          <w:highlight w:val="none"/>
        </w:rPr>
        <w:t>保证物资取送及时、无遗失、无破损。</w:t>
      </w:r>
    </w:p>
    <w:p w14:paraId="3BA61C04">
      <w:pPr>
        <w:pageBreakBefore w:val="0"/>
        <w:kinsoku/>
        <w:wordWrap/>
        <w:overflowPunct/>
        <w:topLinePunct w:val="0"/>
        <w:bidi w:val="0"/>
        <w:adjustRightInd w:val="0"/>
        <w:snapToGrid w:val="0"/>
        <w:spacing w:line="360" w:lineRule="auto"/>
        <w:textAlignment w:val="auto"/>
        <w:rPr>
          <w:rFonts w:ascii="宋体" w:hAnsi="宋体" w:eastAsia="宋体"/>
          <w:bCs/>
          <w:color w:val="000000"/>
          <w:sz w:val="24"/>
          <w:highlight w:val="none"/>
        </w:rPr>
      </w:pPr>
      <w:r>
        <w:rPr>
          <w:rFonts w:ascii="宋体" w:hAnsi="宋体" w:eastAsia="宋体"/>
          <w:bCs/>
          <w:color w:val="000000"/>
          <w:sz w:val="24"/>
          <w:highlight w:val="none"/>
        </w:rPr>
        <w:t>三、考核方法</w:t>
      </w:r>
    </w:p>
    <w:p w14:paraId="03932EBF">
      <w:pPr>
        <w:pageBreakBefore w:val="0"/>
        <w:kinsoku/>
        <w:wordWrap/>
        <w:overflowPunct/>
        <w:topLinePunct w:val="0"/>
        <w:bidi w:val="0"/>
        <w:adjustRightInd w:val="0"/>
        <w:snapToGrid w:val="0"/>
        <w:spacing w:line="360" w:lineRule="auto"/>
        <w:ind w:firstLine="480" w:firstLineChars="200"/>
        <w:textAlignment w:val="auto"/>
        <w:rPr>
          <w:rFonts w:ascii="宋体" w:hAnsi="宋体" w:eastAsia="宋体"/>
          <w:bCs/>
          <w:color w:val="000000"/>
          <w:sz w:val="24"/>
          <w:highlight w:val="none"/>
        </w:rPr>
      </w:pPr>
      <w:r>
        <w:rPr>
          <w:rFonts w:ascii="宋体" w:hAnsi="宋体" w:eastAsia="宋体"/>
          <w:bCs/>
          <w:color w:val="000000"/>
          <w:sz w:val="24"/>
          <w:highlight w:val="none"/>
        </w:rPr>
        <w:t>1、根据《</w:t>
      </w:r>
      <w:r>
        <w:rPr>
          <w:rFonts w:hint="eastAsia" w:ascii="宋体" w:hAnsi="宋体" w:eastAsia="宋体"/>
          <w:bCs/>
          <w:color w:val="000000"/>
          <w:sz w:val="24"/>
          <w:highlight w:val="none"/>
        </w:rPr>
        <w:t>西安市第五医院患者服务管理中心工作</w:t>
      </w:r>
      <w:r>
        <w:rPr>
          <w:rFonts w:ascii="宋体" w:hAnsi="宋体" w:eastAsia="宋体"/>
          <w:bCs/>
          <w:color w:val="000000"/>
          <w:sz w:val="24"/>
          <w:highlight w:val="none"/>
        </w:rPr>
        <w:t>质量考</w:t>
      </w:r>
      <w:r>
        <w:rPr>
          <w:rFonts w:hint="eastAsia" w:ascii="宋体" w:hAnsi="宋体" w:eastAsia="宋体"/>
          <w:bCs/>
          <w:color w:val="000000"/>
          <w:sz w:val="24"/>
          <w:highlight w:val="none"/>
        </w:rPr>
        <w:t>评</w:t>
      </w:r>
      <w:r>
        <w:rPr>
          <w:rFonts w:ascii="宋体" w:hAnsi="宋体" w:eastAsia="宋体"/>
          <w:bCs/>
          <w:color w:val="000000"/>
          <w:sz w:val="24"/>
          <w:highlight w:val="none"/>
        </w:rPr>
        <w:t>标准》对相关工作进行考核，</w:t>
      </w:r>
      <w:r>
        <w:rPr>
          <w:rFonts w:hint="eastAsia" w:ascii="宋体" w:hAnsi="宋体" w:eastAsia="宋体"/>
          <w:bCs/>
          <w:color w:val="000000"/>
          <w:sz w:val="24"/>
          <w:highlight w:val="none"/>
        </w:rPr>
        <w:t>医院监管部门</w:t>
      </w:r>
      <w:r>
        <w:rPr>
          <w:rFonts w:ascii="宋体" w:hAnsi="宋体" w:eastAsia="宋体"/>
          <w:bCs/>
          <w:color w:val="000000"/>
          <w:sz w:val="24"/>
          <w:highlight w:val="none"/>
        </w:rPr>
        <w:t>每月根据</w:t>
      </w:r>
      <w:r>
        <w:rPr>
          <w:rFonts w:hint="eastAsia" w:ascii="宋体" w:hAnsi="宋体" w:eastAsia="宋体"/>
          <w:bCs/>
          <w:color w:val="000000"/>
          <w:sz w:val="24"/>
          <w:highlight w:val="none"/>
        </w:rPr>
        <w:t>医护人员的满意度调查表、病友满意度调查表打分。</w:t>
      </w:r>
      <w:r>
        <w:rPr>
          <w:rFonts w:ascii="宋体" w:hAnsi="宋体" w:eastAsia="宋体"/>
          <w:bCs/>
          <w:color w:val="000000"/>
          <w:sz w:val="24"/>
          <w:highlight w:val="none"/>
        </w:rPr>
        <w:t>并在</w:t>
      </w:r>
      <w:r>
        <w:rPr>
          <w:rFonts w:hint="eastAsia" w:ascii="宋体" w:hAnsi="宋体" w:eastAsia="宋体"/>
          <w:bCs/>
          <w:color w:val="000000"/>
          <w:sz w:val="24"/>
          <w:highlight w:val="none"/>
        </w:rPr>
        <w:t>次季度第一个月的10个工作日内将考核情况报于财务室以作奖惩的依据。</w:t>
      </w:r>
    </w:p>
    <w:p w14:paraId="7ABC3BC6">
      <w:pPr>
        <w:pageBreakBefore w:val="0"/>
        <w:kinsoku/>
        <w:wordWrap/>
        <w:overflowPunct/>
        <w:topLinePunct w:val="0"/>
        <w:bidi w:val="0"/>
        <w:adjustRightInd w:val="0"/>
        <w:snapToGrid w:val="0"/>
        <w:spacing w:line="360" w:lineRule="auto"/>
        <w:ind w:firstLine="480" w:firstLineChars="200"/>
        <w:textAlignment w:val="auto"/>
        <w:rPr>
          <w:rFonts w:ascii="宋体" w:hAnsi="宋体" w:eastAsia="宋体"/>
          <w:bCs/>
          <w:color w:val="000000"/>
          <w:sz w:val="24"/>
          <w:highlight w:val="none"/>
        </w:rPr>
      </w:pPr>
      <w:r>
        <w:rPr>
          <w:rFonts w:ascii="宋体" w:hAnsi="宋体" w:eastAsia="宋体"/>
          <w:bCs/>
          <w:color w:val="000000"/>
          <w:sz w:val="24"/>
          <w:highlight w:val="none"/>
        </w:rPr>
        <w:t>2、</w:t>
      </w:r>
      <w:r>
        <w:rPr>
          <w:rFonts w:hint="eastAsia" w:ascii="宋体" w:hAnsi="宋体"/>
          <w:bCs/>
          <w:color w:val="000000"/>
          <w:sz w:val="24"/>
          <w:highlight w:val="none"/>
          <w:lang w:eastAsia="zh-CN"/>
        </w:rPr>
        <w:t>乙方</w:t>
      </w:r>
      <w:r>
        <w:rPr>
          <w:rFonts w:ascii="宋体" w:hAnsi="宋体" w:eastAsia="宋体"/>
          <w:bCs/>
          <w:color w:val="000000"/>
          <w:sz w:val="24"/>
          <w:highlight w:val="none"/>
        </w:rPr>
        <w:t>负责</w:t>
      </w:r>
      <w:r>
        <w:rPr>
          <w:rFonts w:hint="eastAsia" w:ascii="宋体" w:hAnsi="宋体" w:eastAsia="宋体"/>
          <w:bCs/>
          <w:color w:val="000000"/>
          <w:sz w:val="24"/>
          <w:highlight w:val="none"/>
        </w:rPr>
        <w:t>项目的</w:t>
      </w:r>
      <w:r>
        <w:rPr>
          <w:rFonts w:ascii="宋体" w:hAnsi="宋体" w:eastAsia="宋体"/>
          <w:bCs/>
          <w:color w:val="000000"/>
          <w:sz w:val="24"/>
          <w:highlight w:val="none"/>
        </w:rPr>
        <w:t>日常工作</w:t>
      </w:r>
      <w:r>
        <w:rPr>
          <w:rFonts w:hint="eastAsia" w:ascii="宋体" w:hAnsi="宋体" w:eastAsia="宋体"/>
          <w:bCs/>
          <w:color w:val="000000"/>
          <w:sz w:val="24"/>
          <w:highlight w:val="none"/>
        </w:rPr>
        <w:t>管理</w:t>
      </w:r>
      <w:r>
        <w:rPr>
          <w:rFonts w:ascii="宋体" w:hAnsi="宋体" w:eastAsia="宋体"/>
          <w:bCs/>
          <w:color w:val="000000"/>
          <w:sz w:val="24"/>
          <w:highlight w:val="none"/>
        </w:rPr>
        <w:t>，安排监管人员深入临床科室进行工作督查，向科室负责人、当值人员、病人和陪人等了解临床支持服务的日常工作情况，或现场考评临床支持服务人员</w:t>
      </w:r>
      <w:r>
        <w:rPr>
          <w:rFonts w:hint="eastAsia" w:ascii="宋体" w:hAnsi="宋体" w:eastAsia="宋体"/>
          <w:bCs/>
          <w:color w:val="000000"/>
          <w:sz w:val="24"/>
          <w:highlight w:val="none"/>
        </w:rPr>
        <w:t>。</w:t>
      </w:r>
    </w:p>
    <w:p w14:paraId="6B621628">
      <w:pPr>
        <w:pageBreakBefore w:val="0"/>
        <w:kinsoku/>
        <w:wordWrap/>
        <w:overflowPunct/>
        <w:topLinePunct w:val="0"/>
        <w:bidi w:val="0"/>
        <w:adjustRightInd w:val="0"/>
        <w:snapToGrid w:val="0"/>
        <w:spacing w:line="360" w:lineRule="auto"/>
        <w:ind w:firstLine="480" w:firstLineChars="200"/>
        <w:textAlignment w:val="auto"/>
        <w:rPr>
          <w:rFonts w:ascii="宋体" w:hAnsi="宋体" w:eastAsia="宋体"/>
          <w:bCs/>
          <w:color w:val="000000"/>
          <w:sz w:val="24"/>
          <w:highlight w:val="none"/>
        </w:rPr>
      </w:pPr>
      <w:r>
        <w:rPr>
          <w:rFonts w:ascii="宋体" w:hAnsi="宋体" w:eastAsia="宋体"/>
          <w:bCs/>
          <w:color w:val="000000"/>
          <w:sz w:val="24"/>
          <w:highlight w:val="none"/>
        </w:rPr>
        <w:t>3、每月月初由</w:t>
      </w:r>
      <w:r>
        <w:rPr>
          <w:rFonts w:hint="eastAsia" w:ascii="宋体" w:hAnsi="宋体" w:eastAsia="宋体"/>
          <w:bCs/>
          <w:color w:val="000000"/>
          <w:sz w:val="24"/>
          <w:highlight w:val="none"/>
        </w:rPr>
        <w:t>医院</w:t>
      </w:r>
      <w:r>
        <w:rPr>
          <w:rFonts w:ascii="宋体" w:hAnsi="宋体" w:eastAsia="宋体"/>
          <w:bCs/>
          <w:color w:val="000000"/>
          <w:sz w:val="24"/>
          <w:highlight w:val="none"/>
        </w:rPr>
        <w:t>监管部门牵头召集现场考评小组成员参加现场考评并召开月度考评会，听取临床支持服务公司的月度工作汇报，并到工作现场根据考核标准对临床支持工作进行</w:t>
      </w:r>
      <w:r>
        <w:rPr>
          <w:rFonts w:hint="eastAsia" w:ascii="宋体" w:hAnsi="宋体" w:eastAsia="宋体"/>
          <w:bCs/>
          <w:color w:val="000000"/>
          <w:sz w:val="24"/>
          <w:highlight w:val="none"/>
        </w:rPr>
        <w:t>考核</w:t>
      </w:r>
      <w:r>
        <w:rPr>
          <w:rFonts w:ascii="宋体" w:hAnsi="宋体" w:eastAsia="宋体"/>
          <w:bCs/>
          <w:color w:val="000000"/>
          <w:sz w:val="24"/>
          <w:highlight w:val="none"/>
        </w:rPr>
        <w:t>评分</w:t>
      </w:r>
      <w:r>
        <w:rPr>
          <w:rFonts w:hint="eastAsia" w:ascii="宋体" w:hAnsi="宋体" w:eastAsia="宋体"/>
          <w:bCs/>
          <w:color w:val="000000"/>
          <w:sz w:val="24"/>
          <w:highlight w:val="none"/>
        </w:rPr>
        <w:t>。</w:t>
      </w:r>
    </w:p>
    <w:p w14:paraId="7628245B">
      <w:pPr>
        <w:pageBreakBefore w:val="0"/>
        <w:kinsoku/>
        <w:wordWrap/>
        <w:overflowPunct/>
        <w:topLinePunct w:val="0"/>
        <w:bidi w:val="0"/>
        <w:adjustRightInd w:val="0"/>
        <w:snapToGrid w:val="0"/>
        <w:spacing w:line="360" w:lineRule="auto"/>
        <w:ind w:firstLine="480" w:firstLineChars="200"/>
        <w:textAlignment w:val="auto"/>
        <w:rPr>
          <w:rFonts w:ascii="宋体" w:hAnsi="宋体" w:eastAsia="宋体"/>
          <w:bCs/>
          <w:color w:val="000000"/>
          <w:sz w:val="24"/>
          <w:highlight w:val="none"/>
        </w:rPr>
      </w:pPr>
      <w:r>
        <w:rPr>
          <w:rFonts w:hint="eastAsia" w:ascii="宋体" w:hAnsi="宋体" w:eastAsia="宋体"/>
          <w:bCs/>
          <w:color w:val="000000"/>
          <w:sz w:val="24"/>
          <w:highlight w:val="none"/>
        </w:rPr>
        <w:t>4、考评小组有对当月考评总分酌情加分及减分权限。</w:t>
      </w:r>
    </w:p>
    <w:p w14:paraId="6659762C">
      <w:pPr>
        <w:pageBreakBefore w:val="0"/>
        <w:kinsoku/>
        <w:wordWrap/>
        <w:overflowPunct/>
        <w:topLinePunct w:val="0"/>
        <w:bidi w:val="0"/>
        <w:adjustRightInd w:val="0"/>
        <w:snapToGrid w:val="0"/>
        <w:spacing w:line="360" w:lineRule="auto"/>
        <w:textAlignment w:val="auto"/>
        <w:rPr>
          <w:rFonts w:ascii="宋体" w:hAnsi="宋体" w:eastAsia="宋体"/>
          <w:bCs/>
          <w:color w:val="000000"/>
          <w:sz w:val="24"/>
          <w:highlight w:val="none"/>
        </w:rPr>
      </w:pPr>
      <w:r>
        <w:rPr>
          <w:rFonts w:ascii="宋体" w:hAnsi="宋体" w:eastAsia="宋体"/>
          <w:bCs/>
          <w:color w:val="000000"/>
          <w:sz w:val="24"/>
          <w:highlight w:val="none"/>
        </w:rPr>
        <w:t>四、奖惩</w:t>
      </w:r>
    </w:p>
    <w:p w14:paraId="1A92C3E8">
      <w:pPr>
        <w:pageBreakBefore w:val="0"/>
        <w:kinsoku/>
        <w:wordWrap/>
        <w:overflowPunct/>
        <w:topLinePunct w:val="0"/>
        <w:bidi w:val="0"/>
        <w:adjustRightInd w:val="0"/>
        <w:snapToGrid w:val="0"/>
        <w:spacing w:line="360" w:lineRule="auto"/>
        <w:ind w:firstLine="435"/>
        <w:textAlignment w:val="auto"/>
        <w:rPr>
          <w:rFonts w:ascii="宋体" w:hAnsi="宋体" w:eastAsia="宋体"/>
          <w:bCs/>
          <w:color w:val="000000"/>
          <w:sz w:val="24"/>
          <w:highlight w:val="none"/>
        </w:rPr>
      </w:pPr>
      <w:r>
        <w:rPr>
          <w:rFonts w:ascii="宋体" w:hAnsi="宋体" w:eastAsia="宋体"/>
          <w:bCs/>
          <w:color w:val="000000"/>
          <w:sz w:val="24"/>
          <w:highlight w:val="none"/>
        </w:rPr>
        <w:t>月度考核总分为100分，低于</w:t>
      </w:r>
      <w:r>
        <w:rPr>
          <w:rFonts w:hint="eastAsia" w:ascii="宋体" w:hAnsi="宋体" w:eastAsia="宋体"/>
          <w:bCs/>
          <w:color w:val="000000"/>
          <w:sz w:val="24"/>
          <w:highlight w:val="none"/>
        </w:rPr>
        <w:t>90</w:t>
      </w:r>
      <w:r>
        <w:rPr>
          <w:rFonts w:ascii="宋体" w:hAnsi="宋体" w:eastAsia="宋体"/>
          <w:bCs/>
          <w:color w:val="000000"/>
          <w:sz w:val="24"/>
          <w:highlight w:val="none"/>
        </w:rPr>
        <w:t>分予以扣款，每低一分扣除当月服务费用的</w:t>
      </w:r>
      <w:r>
        <w:rPr>
          <w:rFonts w:hint="eastAsia" w:ascii="宋体" w:hAnsi="宋体" w:eastAsia="宋体"/>
          <w:bCs/>
          <w:color w:val="000000"/>
          <w:sz w:val="24"/>
          <w:highlight w:val="none"/>
        </w:rPr>
        <w:t>5</w:t>
      </w:r>
      <w:r>
        <w:rPr>
          <w:rFonts w:ascii="宋体" w:hAnsi="宋体" w:eastAsia="宋体"/>
          <w:bCs/>
          <w:color w:val="000000"/>
          <w:sz w:val="24"/>
          <w:highlight w:val="none"/>
        </w:rPr>
        <w:t xml:space="preserve">‰，所有扣款全部在当月甲方应付服务费用中扣除。连续三次罚款，将书面通知，如30日内仍无改进，甲方有权终止合同。 </w:t>
      </w:r>
    </w:p>
    <w:p w14:paraId="5285CEE0">
      <w:pPr>
        <w:pageBreakBefore w:val="0"/>
        <w:kinsoku/>
        <w:wordWrap/>
        <w:overflowPunct/>
        <w:topLinePunct w:val="0"/>
        <w:bidi w:val="0"/>
        <w:adjustRightInd w:val="0"/>
        <w:snapToGrid w:val="0"/>
        <w:spacing w:line="360" w:lineRule="auto"/>
        <w:ind w:firstLine="435"/>
        <w:textAlignment w:val="auto"/>
        <w:rPr>
          <w:rFonts w:ascii="宋体" w:hAnsi="宋体" w:eastAsia="宋体"/>
          <w:bCs/>
          <w:color w:val="000000"/>
          <w:sz w:val="24"/>
          <w:highlight w:val="none"/>
        </w:rPr>
      </w:pPr>
      <w:r>
        <w:rPr>
          <w:rFonts w:ascii="宋体" w:hAnsi="宋体" w:eastAsia="宋体"/>
          <w:bCs/>
          <w:color w:val="000000"/>
          <w:sz w:val="24"/>
          <w:highlight w:val="none"/>
        </w:rPr>
        <w:t xml:space="preserve">                  </w:t>
      </w:r>
    </w:p>
    <w:p w14:paraId="3568A624">
      <w:pPr>
        <w:pageBreakBefore w:val="0"/>
        <w:kinsoku/>
        <w:wordWrap/>
        <w:overflowPunct/>
        <w:topLinePunct w:val="0"/>
        <w:bidi w:val="0"/>
        <w:adjustRightInd w:val="0"/>
        <w:snapToGrid w:val="0"/>
        <w:spacing w:line="360" w:lineRule="auto"/>
        <w:ind w:firstLine="7200" w:firstLineChars="3000"/>
        <w:textAlignment w:val="auto"/>
        <w:rPr>
          <w:rFonts w:ascii="宋体" w:hAnsi="宋体" w:eastAsia="宋体"/>
          <w:bCs/>
          <w:color w:val="000000"/>
          <w:sz w:val="24"/>
          <w:highlight w:val="none"/>
        </w:rPr>
        <w:sectPr>
          <w:headerReference r:id="rId4" w:type="first"/>
          <w:footerReference r:id="rId5" w:type="even"/>
          <w:pgSz w:w="11906" w:h="16840"/>
          <w:pgMar w:top="1440" w:right="1440" w:bottom="1440" w:left="1440" w:header="851" w:footer="1027"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bCs/>
          <w:color w:val="000000"/>
          <w:sz w:val="24"/>
          <w:highlight w:val="none"/>
          <w:lang w:val="en-US" w:eastAsia="zh-CN"/>
        </w:rPr>
        <w:t>202</w:t>
      </w:r>
      <w:r>
        <w:rPr>
          <w:rFonts w:hint="eastAsia" w:ascii="宋体" w:hAnsi="宋体"/>
          <w:bCs/>
          <w:color w:val="000000"/>
          <w:sz w:val="24"/>
          <w:highlight w:val="none"/>
          <w:lang w:val="en-US" w:eastAsia="zh-CN"/>
        </w:rPr>
        <w:t>6</w:t>
      </w:r>
      <w:r>
        <w:rPr>
          <w:rFonts w:ascii="宋体" w:hAnsi="宋体" w:eastAsia="宋体"/>
          <w:bCs/>
          <w:color w:val="000000"/>
          <w:sz w:val="24"/>
          <w:highlight w:val="none"/>
        </w:rPr>
        <w:t>年</w:t>
      </w:r>
      <w:r>
        <w:rPr>
          <w:rFonts w:hint="eastAsia" w:ascii="宋体" w:hAnsi="宋体" w:eastAsia="宋体"/>
          <w:bCs/>
          <w:color w:val="000000"/>
          <w:sz w:val="24"/>
          <w:highlight w:val="none"/>
        </w:rPr>
        <w:t xml:space="preserve"> </w:t>
      </w:r>
      <w:r>
        <w:rPr>
          <w:rFonts w:hint="eastAsia" w:ascii="宋体" w:hAnsi="宋体"/>
          <w:bCs/>
          <w:color w:val="000000"/>
          <w:sz w:val="24"/>
          <w:highlight w:val="none"/>
          <w:lang w:val="en-US" w:eastAsia="zh-CN"/>
        </w:rPr>
        <w:t xml:space="preserve"> </w:t>
      </w:r>
      <w:r>
        <w:rPr>
          <w:rFonts w:hint="eastAsia" w:ascii="宋体" w:hAnsi="宋体" w:eastAsia="宋体"/>
          <w:bCs/>
          <w:color w:val="000000"/>
          <w:sz w:val="24"/>
          <w:highlight w:val="none"/>
        </w:rPr>
        <w:t>月</w:t>
      </w:r>
    </w:p>
    <w:p w14:paraId="76DBFDF5">
      <w:pPr>
        <w:pageBreakBefore w:val="0"/>
        <w:kinsoku/>
        <w:wordWrap/>
        <w:overflowPunct/>
        <w:topLinePunct w:val="0"/>
        <w:bidi w:val="0"/>
        <w:adjustRightInd w:val="0"/>
        <w:snapToGrid w:val="0"/>
        <w:spacing w:after="120" w:afterLines="50" w:line="360" w:lineRule="auto"/>
        <w:jc w:val="left"/>
        <w:textAlignment w:val="auto"/>
        <w:rPr>
          <w:rFonts w:ascii="宋体" w:hAnsi="宋体" w:eastAsia="宋体"/>
          <w:b/>
          <w:color w:val="000000"/>
          <w:sz w:val="24"/>
          <w:highlight w:val="none"/>
        </w:rPr>
      </w:pPr>
      <w:r>
        <w:rPr>
          <w:rFonts w:hint="eastAsia" w:ascii="宋体" w:hAnsi="宋体" w:eastAsia="宋体"/>
          <w:b/>
          <w:color w:val="000000"/>
          <w:sz w:val="24"/>
          <w:highlight w:val="none"/>
        </w:rPr>
        <w:t>附件C：西安市第五医院患者服务管理中心工作质量考评标准</w:t>
      </w:r>
    </w:p>
    <w:tbl>
      <w:tblPr>
        <w:tblStyle w:val="9"/>
        <w:tblW w:w="8840" w:type="dxa"/>
        <w:jc w:val="center"/>
        <w:tblLayout w:type="fixed"/>
        <w:tblCellMar>
          <w:top w:w="0" w:type="dxa"/>
          <w:left w:w="108" w:type="dxa"/>
          <w:bottom w:w="0" w:type="dxa"/>
          <w:right w:w="108" w:type="dxa"/>
        </w:tblCellMar>
      </w:tblPr>
      <w:tblGrid>
        <w:gridCol w:w="1196"/>
        <w:gridCol w:w="6162"/>
        <w:gridCol w:w="669"/>
        <w:gridCol w:w="802"/>
        <w:gridCol w:w="11"/>
      </w:tblGrid>
      <w:tr w14:paraId="7304C8DF">
        <w:tblPrEx>
          <w:tblCellMar>
            <w:top w:w="0" w:type="dxa"/>
            <w:left w:w="108" w:type="dxa"/>
            <w:bottom w:w="0" w:type="dxa"/>
            <w:right w:w="108" w:type="dxa"/>
          </w:tblCellMar>
        </w:tblPrEx>
        <w:trPr>
          <w:trHeight w:val="366" w:hRule="atLeast"/>
          <w:jc w:val="center"/>
        </w:trPr>
        <w:tc>
          <w:tcPr>
            <w:tcW w:w="8840" w:type="dxa"/>
            <w:gridSpan w:val="5"/>
            <w:tcBorders>
              <w:top w:val="nil"/>
              <w:left w:val="nil"/>
              <w:bottom w:val="nil"/>
              <w:right w:val="nil"/>
            </w:tcBorders>
            <w:noWrap w:val="0"/>
            <w:vAlign w:val="center"/>
          </w:tcPr>
          <w:p w14:paraId="4A3B5093">
            <w:pPr>
              <w:keepNext/>
              <w:keepLines/>
              <w:pageBreakBefore w:val="0"/>
              <w:widowControl w:val="0"/>
              <w:kinsoku/>
              <w:wordWrap/>
              <w:overflowPunct/>
              <w:topLinePunct w:val="0"/>
              <w:bidi w:val="0"/>
              <w:adjustRightInd w:val="0"/>
              <w:snapToGrid w:val="0"/>
              <w:spacing w:before="0" w:after="0" w:line="360" w:lineRule="auto"/>
              <w:ind w:firstLine="0" w:firstLineChars="0"/>
              <w:jc w:val="center"/>
              <w:textAlignment w:val="auto"/>
              <w:outlineLvl w:val="0"/>
              <w:rPr>
                <w:rFonts w:hint="eastAsia" w:ascii="宋体" w:hAnsi="宋体" w:eastAsia="宋体" w:cs="宋体"/>
                <w:b/>
                <w:bCs/>
                <w:color w:val="000000"/>
                <w:kern w:val="0"/>
                <w:sz w:val="24"/>
                <w:szCs w:val="24"/>
                <w:highlight w:val="none"/>
                <w:lang w:val="en-US" w:eastAsia="zh-CN" w:bidi="ar-SA"/>
              </w:rPr>
            </w:pPr>
            <w:bookmarkStart w:id="2" w:name="_Toc183763722"/>
            <w:bookmarkStart w:id="3" w:name="_Toc182926567"/>
            <w:r>
              <w:rPr>
                <w:rFonts w:hint="eastAsia" w:ascii="宋体" w:hAnsi="宋体" w:eastAsia="宋体" w:cs="宋体"/>
                <w:b/>
                <w:bCs/>
                <w:color w:val="000000"/>
                <w:kern w:val="0"/>
                <w:sz w:val="24"/>
                <w:szCs w:val="24"/>
                <w:highlight w:val="none"/>
                <w:lang w:val="en-US" w:eastAsia="zh-CN" w:bidi="ar-SA"/>
              </w:rPr>
              <w:t>西安市第五医院患者服务管理中心工作质量考评标准</w:t>
            </w:r>
            <w:bookmarkEnd w:id="2"/>
            <w:bookmarkEnd w:id="3"/>
          </w:p>
        </w:tc>
      </w:tr>
      <w:tr w14:paraId="16E82BAB">
        <w:tblPrEx>
          <w:tblCellMar>
            <w:top w:w="0" w:type="dxa"/>
            <w:left w:w="108" w:type="dxa"/>
            <w:bottom w:w="0" w:type="dxa"/>
            <w:right w:w="108" w:type="dxa"/>
          </w:tblCellMar>
        </w:tblPrEx>
        <w:trPr>
          <w:gridAfter w:val="1"/>
          <w:wAfter w:w="11" w:type="dxa"/>
          <w:trHeight w:val="739" w:hRule="atLeast"/>
          <w:jc w:val="center"/>
        </w:trPr>
        <w:tc>
          <w:tcPr>
            <w:tcW w:w="1196" w:type="dxa"/>
            <w:tcBorders>
              <w:top w:val="single" w:color="auto" w:sz="4" w:space="0"/>
              <w:left w:val="single" w:color="auto" w:sz="4" w:space="0"/>
              <w:bottom w:val="single" w:color="auto" w:sz="4" w:space="0"/>
              <w:right w:val="single" w:color="auto" w:sz="4" w:space="0"/>
            </w:tcBorders>
            <w:noWrap w:val="0"/>
            <w:vAlign w:val="center"/>
          </w:tcPr>
          <w:p w14:paraId="34106BCC">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项目</w:t>
            </w:r>
          </w:p>
        </w:tc>
        <w:tc>
          <w:tcPr>
            <w:tcW w:w="6162" w:type="dxa"/>
            <w:tcBorders>
              <w:top w:val="single" w:color="auto" w:sz="4" w:space="0"/>
              <w:left w:val="nil"/>
              <w:bottom w:val="single" w:color="auto" w:sz="4" w:space="0"/>
              <w:right w:val="single" w:color="auto" w:sz="4" w:space="0"/>
            </w:tcBorders>
            <w:noWrap w:val="0"/>
            <w:vAlign w:val="center"/>
          </w:tcPr>
          <w:p w14:paraId="4FC46D45">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评分标准</w:t>
            </w:r>
          </w:p>
        </w:tc>
        <w:tc>
          <w:tcPr>
            <w:tcW w:w="669" w:type="dxa"/>
            <w:tcBorders>
              <w:top w:val="single" w:color="auto" w:sz="4" w:space="0"/>
              <w:left w:val="nil"/>
              <w:bottom w:val="single" w:color="auto" w:sz="4" w:space="0"/>
              <w:right w:val="single" w:color="auto" w:sz="4" w:space="0"/>
            </w:tcBorders>
            <w:noWrap w:val="0"/>
            <w:vAlign w:val="center"/>
          </w:tcPr>
          <w:p w14:paraId="22BB5E5E">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得分标准</w:t>
            </w:r>
          </w:p>
        </w:tc>
        <w:tc>
          <w:tcPr>
            <w:tcW w:w="802" w:type="dxa"/>
            <w:tcBorders>
              <w:top w:val="single" w:color="auto" w:sz="4" w:space="0"/>
              <w:left w:val="nil"/>
              <w:bottom w:val="single" w:color="auto" w:sz="4" w:space="0"/>
              <w:right w:val="single" w:color="auto" w:sz="4" w:space="0"/>
            </w:tcBorders>
            <w:noWrap w:val="0"/>
            <w:vAlign w:val="center"/>
          </w:tcPr>
          <w:p w14:paraId="1BFA137D">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考核得分</w:t>
            </w:r>
          </w:p>
        </w:tc>
      </w:tr>
      <w:tr w14:paraId="35B36376">
        <w:tblPrEx>
          <w:tblCellMar>
            <w:top w:w="0" w:type="dxa"/>
            <w:left w:w="108" w:type="dxa"/>
            <w:bottom w:w="0" w:type="dxa"/>
            <w:right w:w="108" w:type="dxa"/>
          </w:tblCellMar>
        </w:tblPrEx>
        <w:trPr>
          <w:gridAfter w:val="1"/>
          <w:wAfter w:w="11" w:type="dxa"/>
          <w:trHeight w:val="373" w:hRule="atLeast"/>
          <w:jc w:val="center"/>
        </w:trPr>
        <w:tc>
          <w:tcPr>
            <w:tcW w:w="1196" w:type="dxa"/>
            <w:vMerge w:val="restart"/>
            <w:tcBorders>
              <w:top w:val="nil"/>
              <w:left w:val="single" w:color="auto" w:sz="4" w:space="0"/>
              <w:bottom w:val="single" w:color="auto" w:sz="4" w:space="0"/>
              <w:right w:val="single" w:color="auto" w:sz="4" w:space="0"/>
            </w:tcBorders>
            <w:noWrap w:val="0"/>
            <w:vAlign w:val="center"/>
          </w:tcPr>
          <w:p w14:paraId="39C2F68D">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项目管理</w:t>
            </w:r>
          </w:p>
          <w:p w14:paraId="052858D2">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（10分）</w:t>
            </w:r>
          </w:p>
        </w:tc>
        <w:tc>
          <w:tcPr>
            <w:tcW w:w="6162" w:type="dxa"/>
            <w:tcBorders>
              <w:top w:val="nil"/>
              <w:left w:val="nil"/>
              <w:bottom w:val="single" w:color="auto" w:sz="4" w:space="0"/>
              <w:right w:val="single" w:color="auto" w:sz="4" w:space="0"/>
            </w:tcBorders>
            <w:noWrap w:val="0"/>
            <w:vAlign w:val="center"/>
          </w:tcPr>
          <w:p w14:paraId="0F195302">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1.制度完善、各项工作能够遵照制度严格执行</w:t>
            </w:r>
          </w:p>
        </w:tc>
        <w:tc>
          <w:tcPr>
            <w:tcW w:w="669" w:type="dxa"/>
            <w:tcBorders>
              <w:top w:val="nil"/>
              <w:left w:val="nil"/>
              <w:bottom w:val="single" w:color="auto" w:sz="4" w:space="0"/>
              <w:right w:val="single" w:color="auto" w:sz="4" w:space="0"/>
            </w:tcBorders>
            <w:noWrap w:val="0"/>
            <w:vAlign w:val="center"/>
          </w:tcPr>
          <w:p w14:paraId="65C5BEEB">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6907C47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1D2D11CA">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auto" w:sz="4" w:space="0"/>
              <w:right w:val="single" w:color="auto" w:sz="4" w:space="0"/>
            </w:tcBorders>
            <w:noWrap w:val="0"/>
            <w:vAlign w:val="center"/>
          </w:tcPr>
          <w:p w14:paraId="78DDD61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32C123CE">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2.管理人员每日巡查、定期有检查、并有记录可查</w:t>
            </w:r>
          </w:p>
        </w:tc>
        <w:tc>
          <w:tcPr>
            <w:tcW w:w="669" w:type="dxa"/>
            <w:tcBorders>
              <w:top w:val="nil"/>
              <w:left w:val="nil"/>
              <w:bottom w:val="single" w:color="auto" w:sz="4" w:space="0"/>
              <w:right w:val="single" w:color="auto" w:sz="4" w:space="0"/>
            </w:tcBorders>
            <w:noWrap w:val="0"/>
            <w:vAlign w:val="center"/>
          </w:tcPr>
          <w:p w14:paraId="590314A4">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15C467D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73E5481C">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auto" w:sz="4" w:space="0"/>
              <w:right w:val="single" w:color="auto" w:sz="4" w:space="0"/>
            </w:tcBorders>
            <w:noWrap w:val="0"/>
            <w:vAlign w:val="center"/>
          </w:tcPr>
          <w:p w14:paraId="241F4FD2">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60346112">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3.人员稳定、离职率少于10%、储备人员充足</w:t>
            </w:r>
          </w:p>
        </w:tc>
        <w:tc>
          <w:tcPr>
            <w:tcW w:w="669" w:type="dxa"/>
            <w:tcBorders>
              <w:top w:val="nil"/>
              <w:left w:val="nil"/>
              <w:bottom w:val="single" w:color="auto" w:sz="4" w:space="0"/>
              <w:right w:val="single" w:color="auto" w:sz="4" w:space="0"/>
            </w:tcBorders>
            <w:noWrap w:val="0"/>
            <w:vAlign w:val="center"/>
          </w:tcPr>
          <w:p w14:paraId="0671B74F">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w:t>
            </w:r>
          </w:p>
        </w:tc>
        <w:tc>
          <w:tcPr>
            <w:tcW w:w="802" w:type="dxa"/>
            <w:tcBorders>
              <w:top w:val="nil"/>
              <w:left w:val="nil"/>
              <w:bottom w:val="single" w:color="auto" w:sz="4" w:space="0"/>
              <w:right w:val="single" w:color="auto" w:sz="4" w:space="0"/>
            </w:tcBorders>
            <w:noWrap w:val="0"/>
            <w:vAlign w:val="center"/>
          </w:tcPr>
          <w:p w14:paraId="2F89F37F">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519439A3">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auto" w:sz="4" w:space="0"/>
              <w:right w:val="single" w:color="auto" w:sz="4" w:space="0"/>
            </w:tcBorders>
            <w:noWrap w:val="0"/>
            <w:vAlign w:val="center"/>
          </w:tcPr>
          <w:p w14:paraId="1FFB92C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0496F2A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4.总公司对项目管理人员有考核</w:t>
            </w:r>
          </w:p>
        </w:tc>
        <w:tc>
          <w:tcPr>
            <w:tcW w:w="669" w:type="dxa"/>
            <w:tcBorders>
              <w:top w:val="nil"/>
              <w:left w:val="nil"/>
              <w:bottom w:val="single" w:color="auto" w:sz="4" w:space="0"/>
              <w:right w:val="single" w:color="auto" w:sz="4" w:space="0"/>
            </w:tcBorders>
            <w:noWrap w:val="0"/>
            <w:vAlign w:val="center"/>
          </w:tcPr>
          <w:p w14:paraId="0057AF28">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w:t>
            </w:r>
          </w:p>
        </w:tc>
        <w:tc>
          <w:tcPr>
            <w:tcW w:w="802" w:type="dxa"/>
            <w:tcBorders>
              <w:top w:val="nil"/>
              <w:left w:val="nil"/>
              <w:bottom w:val="single" w:color="auto" w:sz="4" w:space="0"/>
              <w:right w:val="single" w:color="auto" w:sz="4" w:space="0"/>
            </w:tcBorders>
            <w:noWrap w:val="0"/>
            <w:vAlign w:val="center"/>
          </w:tcPr>
          <w:p w14:paraId="2F718B90">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62A78F3C">
        <w:tblPrEx>
          <w:tblCellMar>
            <w:top w:w="0" w:type="dxa"/>
            <w:left w:w="108" w:type="dxa"/>
            <w:bottom w:w="0" w:type="dxa"/>
            <w:right w:w="108" w:type="dxa"/>
          </w:tblCellMar>
        </w:tblPrEx>
        <w:trPr>
          <w:gridAfter w:val="1"/>
          <w:wAfter w:w="11" w:type="dxa"/>
          <w:trHeight w:val="373" w:hRule="atLeast"/>
          <w:jc w:val="center"/>
        </w:trPr>
        <w:tc>
          <w:tcPr>
            <w:tcW w:w="1196" w:type="dxa"/>
            <w:vMerge w:val="restart"/>
            <w:tcBorders>
              <w:top w:val="nil"/>
              <w:left w:val="single" w:color="auto" w:sz="4" w:space="0"/>
              <w:bottom w:val="single" w:color="auto" w:sz="4" w:space="0"/>
              <w:right w:val="single" w:color="auto" w:sz="4" w:space="0"/>
            </w:tcBorders>
            <w:noWrap w:val="0"/>
            <w:vAlign w:val="center"/>
          </w:tcPr>
          <w:p w14:paraId="55332F35">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安全管理</w:t>
            </w:r>
          </w:p>
          <w:p w14:paraId="4BDB502C">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（8分）</w:t>
            </w:r>
          </w:p>
        </w:tc>
        <w:tc>
          <w:tcPr>
            <w:tcW w:w="6162" w:type="dxa"/>
            <w:tcBorders>
              <w:top w:val="nil"/>
              <w:left w:val="nil"/>
              <w:bottom w:val="single" w:color="auto" w:sz="4" w:space="0"/>
              <w:right w:val="single" w:color="auto" w:sz="4" w:space="0"/>
            </w:tcBorders>
            <w:noWrap w:val="0"/>
            <w:vAlign w:val="center"/>
          </w:tcPr>
          <w:p w14:paraId="0533C8E0">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1.本月安全事故率“0”</w:t>
            </w:r>
          </w:p>
        </w:tc>
        <w:tc>
          <w:tcPr>
            <w:tcW w:w="669" w:type="dxa"/>
            <w:tcBorders>
              <w:top w:val="nil"/>
              <w:left w:val="nil"/>
              <w:bottom w:val="single" w:color="auto" w:sz="4" w:space="0"/>
              <w:right w:val="single" w:color="auto" w:sz="4" w:space="0"/>
            </w:tcBorders>
            <w:noWrap w:val="0"/>
            <w:vAlign w:val="center"/>
          </w:tcPr>
          <w:p w14:paraId="08302F71">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w:t>
            </w:r>
          </w:p>
        </w:tc>
        <w:tc>
          <w:tcPr>
            <w:tcW w:w="802" w:type="dxa"/>
            <w:tcBorders>
              <w:top w:val="nil"/>
              <w:left w:val="nil"/>
              <w:bottom w:val="single" w:color="auto" w:sz="4" w:space="0"/>
              <w:right w:val="single" w:color="auto" w:sz="4" w:space="0"/>
            </w:tcBorders>
            <w:noWrap w:val="0"/>
            <w:vAlign w:val="center"/>
          </w:tcPr>
          <w:p w14:paraId="50EBCA9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06C3D70B">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nil"/>
              <w:left w:val="single" w:color="auto" w:sz="4" w:space="0"/>
              <w:bottom w:val="single" w:color="auto" w:sz="4" w:space="0"/>
              <w:right w:val="single" w:color="auto" w:sz="4" w:space="0"/>
            </w:tcBorders>
            <w:noWrap w:val="0"/>
            <w:vAlign w:val="center"/>
          </w:tcPr>
          <w:p w14:paraId="3FC00ED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39693AB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2.有完善应急预案，并有现场演练，有不良事件逐级报告制度及整改措施。</w:t>
            </w:r>
          </w:p>
        </w:tc>
        <w:tc>
          <w:tcPr>
            <w:tcW w:w="669" w:type="dxa"/>
            <w:tcBorders>
              <w:top w:val="nil"/>
              <w:left w:val="nil"/>
              <w:bottom w:val="single" w:color="auto" w:sz="4" w:space="0"/>
              <w:right w:val="single" w:color="auto" w:sz="4" w:space="0"/>
            </w:tcBorders>
            <w:noWrap w:val="0"/>
            <w:vAlign w:val="center"/>
          </w:tcPr>
          <w:p w14:paraId="12B4AF59">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w:t>
            </w:r>
          </w:p>
        </w:tc>
        <w:tc>
          <w:tcPr>
            <w:tcW w:w="802" w:type="dxa"/>
            <w:tcBorders>
              <w:top w:val="nil"/>
              <w:left w:val="nil"/>
              <w:bottom w:val="single" w:color="auto" w:sz="4" w:space="0"/>
              <w:right w:val="single" w:color="auto" w:sz="4" w:space="0"/>
            </w:tcBorders>
            <w:noWrap w:val="0"/>
            <w:vAlign w:val="center"/>
          </w:tcPr>
          <w:p w14:paraId="2BD9AE5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7B456462">
        <w:tblPrEx>
          <w:tblCellMar>
            <w:top w:w="0" w:type="dxa"/>
            <w:left w:w="108" w:type="dxa"/>
            <w:bottom w:w="0" w:type="dxa"/>
            <w:right w:w="108" w:type="dxa"/>
          </w:tblCellMar>
        </w:tblPrEx>
        <w:trPr>
          <w:gridAfter w:val="1"/>
          <w:wAfter w:w="11" w:type="dxa"/>
          <w:trHeight w:val="373" w:hRule="atLeast"/>
          <w:jc w:val="center"/>
        </w:trPr>
        <w:tc>
          <w:tcPr>
            <w:tcW w:w="1196" w:type="dxa"/>
            <w:vMerge w:val="restart"/>
            <w:tcBorders>
              <w:top w:val="nil"/>
              <w:left w:val="single" w:color="auto" w:sz="4" w:space="0"/>
              <w:bottom w:val="single" w:color="000000" w:sz="4" w:space="0"/>
              <w:right w:val="single" w:color="auto" w:sz="4" w:space="0"/>
            </w:tcBorders>
            <w:noWrap w:val="0"/>
            <w:vAlign w:val="center"/>
          </w:tcPr>
          <w:p w14:paraId="3F3B34A9">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员工管理</w:t>
            </w:r>
          </w:p>
          <w:p w14:paraId="2B376387">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（10分）</w:t>
            </w:r>
          </w:p>
        </w:tc>
        <w:tc>
          <w:tcPr>
            <w:tcW w:w="6162" w:type="dxa"/>
            <w:tcBorders>
              <w:top w:val="nil"/>
              <w:left w:val="nil"/>
              <w:bottom w:val="single" w:color="auto" w:sz="4" w:space="0"/>
              <w:right w:val="single" w:color="auto" w:sz="4" w:space="0"/>
            </w:tcBorders>
            <w:noWrap w:val="0"/>
            <w:vAlign w:val="center"/>
          </w:tcPr>
          <w:p w14:paraId="1949C9E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1.按合同约定配足各岗位人员，保证岗位服务达标</w:t>
            </w:r>
          </w:p>
        </w:tc>
        <w:tc>
          <w:tcPr>
            <w:tcW w:w="669" w:type="dxa"/>
            <w:tcBorders>
              <w:top w:val="nil"/>
              <w:left w:val="nil"/>
              <w:bottom w:val="single" w:color="auto" w:sz="4" w:space="0"/>
              <w:right w:val="single" w:color="auto" w:sz="4" w:space="0"/>
            </w:tcBorders>
            <w:noWrap w:val="0"/>
            <w:vAlign w:val="center"/>
          </w:tcPr>
          <w:p w14:paraId="7D7B6678">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4F67898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028862F0">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23CB8D2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419DF0C2">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2.有可靠的员工补充储备系统，及时补充离职人员岗位，其院内其他外包公司除名员工不允许录用</w:t>
            </w:r>
          </w:p>
        </w:tc>
        <w:tc>
          <w:tcPr>
            <w:tcW w:w="669" w:type="dxa"/>
            <w:tcBorders>
              <w:top w:val="nil"/>
              <w:left w:val="nil"/>
              <w:bottom w:val="single" w:color="auto" w:sz="4" w:space="0"/>
              <w:right w:val="single" w:color="auto" w:sz="4" w:space="0"/>
            </w:tcBorders>
            <w:noWrap w:val="0"/>
            <w:vAlign w:val="center"/>
          </w:tcPr>
          <w:p w14:paraId="68EEF094">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01A25974">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38C3A855">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1C4774D7">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67179BA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3.有员工考核激励机制并得到较好的执行</w:t>
            </w:r>
          </w:p>
        </w:tc>
        <w:tc>
          <w:tcPr>
            <w:tcW w:w="669" w:type="dxa"/>
            <w:tcBorders>
              <w:top w:val="nil"/>
              <w:left w:val="nil"/>
              <w:bottom w:val="single" w:color="auto" w:sz="4" w:space="0"/>
              <w:right w:val="single" w:color="auto" w:sz="4" w:space="0"/>
            </w:tcBorders>
            <w:noWrap w:val="0"/>
            <w:vAlign w:val="center"/>
          </w:tcPr>
          <w:p w14:paraId="32A111B9">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664B7A5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6E8BD8DE">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6E2378B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6F6820F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4.员工工作热情饱满，服务态度好，能够按要求着装并做到语言文明</w:t>
            </w:r>
          </w:p>
        </w:tc>
        <w:tc>
          <w:tcPr>
            <w:tcW w:w="669" w:type="dxa"/>
            <w:tcBorders>
              <w:top w:val="nil"/>
              <w:left w:val="nil"/>
              <w:bottom w:val="single" w:color="auto" w:sz="4" w:space="0"/>
              <w:right w:val="single" w:color="auto" w:sz="4" w:space="0"/>
            </w:tcBorders>
            <w:noWrap w:val="0"/>
            <w:vAlign w:val="center"/>
          </w:tcPr>
          <w:p w14:paraId="7B448EEB">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36B1DD8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1479C618">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61623C1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4867EFA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5.对院内临床科室的投诉和意见能够及时整改处理</w:t>
            </w:r>
          </w:p>
        </w:tc>
        <w:tc>
          <w:tcPr>
            <w:tcW w:w="669" w:type="dxa"/>
            <w:tcBorders>
              <w:top w:val="nil"/>
              <w:left w:val="nil"/>
              <w:bottom w:val="single" w:color="auto" w:sz="4" w:space="0"/>
              <w:right w:val="single" w:color="auto" w:sz="4" w:space="0"/>
            </w:tcBorders>
            <w:noWrap w:val="0"/>
            <w:vAlign w:val="center"/>
          </w:tcPr>
          <w:p w14:paraId="529423C8">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301D31E2">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376A0DFC">
        <w:tblPrEx>
          <w:tblCellMar>
            <w:top w:w="0" w:type="dxa"/>
            <w:left w:w="108" w:type="dxa"/>
            <w:bottom w:w="0" w:type="dxa"/>
            <w:right w:w="108" w:type="dxa"/>
          </w:tblCellMar>
        </w:tblPrEx>
        <w:trPr>
          <w:gridAfter w:val="1"/>
          <w:wAfter w:w="11" w:type="dxa"/>
          <w:trHeight w:val="739" w:hRule="atLeast"/>
          <w:jc w:val="center"/>
        </w:trPr>
        <w:tc>
          <w:tcPr>
            <w:tcW w:w="1196" w:type="dxa"/>
            <w:vMerge w:val="restart"/>
            <w:tcBorders>
              <w:top w:val="nil"/>
              <w:left w:val="single" w:color="auto" w:sz="4" w:space="0"/>
              <w:bottom w:val="single" w:color="auto" w:sz="4" w:space="0"/>
              <w:right w:val="single" w:color="auto" w:sz="4" w:space="0"/>
            </w:tcBorders>
            <w:noWrap w:val="0"/>
            <w:vAlign w:val="center"/>
          </w:tcPr>
          <w:p w14:paraId="68F0809C">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员工培训</w:t>
            </w:r>
          </w:p>
          <w:p w14:paraId="6FAABA55">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（6分）</w:t>
            </w:r>
          </w:p>
        </w:tc>
        <w:tc>
          <w:tcPr>
            <w:tcW w:w="6162" w:type="dxa"/>
            <w:tcBorders>
              <w:top w:val="nil"/>
              <w:left w:val="nil"/>
              <w:bottom w:val="single" w:color="auto" w:sz="4" w:space="0"/>
              <w:right w:val="single" w:color="auto" w:sz="4" w:space="0"/>
            </w:tcBorders>
            <w:noWrap w:val="0"/>
            <w:vAlign w:val="center"/>
          </w:tcPr>
          <w:p w14:paraId="3808414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1.每月有工作计划和上月工作小结，对存在的问题有整改落实方案。</w:t>
            </w:r>
          </w:p>
        </w:tc>
        <w:tc>
          <w:tcPr>
            <w:tcW w:w="669" w:type="dxa"/>
            <w:tcBorders>
              <w:top w:val="nil"/>
              <w:left w:val="nil"/>
              <w:bottom w:val="single" w:color="auto" w:sz="4" w:space="0"/>
              <w:right w:val="single" w:color="auto" w:sz="4" w:space="0"/>
            </w:tcBorders>
            <w:noWrap w:val="0"/>
            <w:vAlign w:val="center"/>
          </w:tcPr>
          <w:p w14:paraId="5C304EAE">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w:t>
            </w:r>
          </w:p>
        </w:tc>
        <w:tc>
          <w:tcPr>
            <w:tcW w:w="802" w:type="dxa"/>
            <w:tcBorders>
              <w:top w:val="nil"/>
              <w:left w:val="nil"/>
              <w:bottom w:val="single" w:color="auto" w:sz="4" w:space="0"/>
              <w:right w:val="single" w:color="auto" w:sz="4" w:space="0"/>
            </w:tcBorders>
            <w:noWrap w:val="0"/>
            <w:vAlign w:val="center"/>
          </w:tcPr>
          <w:p w14:paraId="053D4B9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1E377078">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nil"/>
              <w:left w:val="single" w:color="auto" w:sz="4" w:space="0"/>
              <w:bottom w:val="single" w:color="auto" w:sz="4" w:space="0"/>
              <w:right w:val="single" w:color="auto" w:sz="4" w:space="0"/>
            </w:tcBorders>
            <w:noWrap w:val="0"/>
            <w:vAlign w:val="center"/>
          </w:tcPr>
          <w:p w14:paraId="35AE440F">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4A7A6179">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2.有员工培训计划，和上月培训考核内容及参加员工培训考核的签到表、记录表、有考核结果小结。</w:t>
            </w:r>
          </w:p>
        </w:tc>
        <w:tc>
          <w:tcPr>
            <w:tcW w:w="669" w:type="dxa"/>
            <w:tcBorders>
              <w:top w:val="nil"/>
              <w:left w:val="nil"/>
              <w:bottom w:val="single" w:color="auto" w:sz="4" w:space="0"/>
              <w:right w:val="single" w:color="auto" w:sz="4" w:space="0"/>
            </w:tcBorders>
            <w:noWrap w:val="0"/>
            <w:vAlign w:val="center"/>
          </w:tcPr>
          <w:p w14:paraId="128A1DC4">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w:t>
            </w:r>
          </w:p>
        </w:tc>
        <w:tc>
          <w:tcPr>
            <w:tcW w:w="802" w:type="dxa"/>
            <w:tcBorders>
              <w:top w:val="nil"/>
              <w:left w:val="nil"/>
              <w:bottom w:val="single" w:color="auto" w:sz="4" w:space="0"/>
              <w:right w:val="single" w:color="auto" w:sz="4" w:space="0"/>
            </w:tcBorders>
            <w:noWrap w:val="0"/>
            <w:vAlign w:val="center"/>
          </w:tcPr>
          <w:p w14:paraId="75EB5ED4">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2C1482DF">
        <w:tblPrEx>
          <w:tblCellMar>
            <w:top w:w="0" w:type="dxa"/>
            <w:left w:w="108" w:type="dxa"/>
            <w:bottom w:w="0" w:type="dxa"/>
            <w:right w:w="108" w:type="dxa"/>
          </w:tblCellMar>
        </w:tblPrEx>
        <w:trPr>
          <w:gridAfter w:val="1"/>
          <w:wAfter w:w="11" w:type="dxa"/>
          <w:trHeight w:val="739" w:hRule="atLeast"/>
          <w:jc w:val="center"/>
        </w:trPr>
        <w:tc>
          <w:tcPr>
            <w:tcW w:w="1196" w:type="dxa"/>
            <w:vMerge w:val="restart"/>
            <w:tcBorders>
              <w:top w:val="nil"/>
              <w:left w:val="single" w:color="auto" w:sz="4" w:space="0"/>
              <w:bottom w:val="single" w:color="000000" w:sz="4" w:space="0"/>
              <w:right w:val="single" w:color="auto" w:sz="4" w:space="0"/>
            </w:tcBorders>
            <w:noWrap w:val="0"/>
            <w:vAlign w:val="center"/>
          </w:tcPr>
          <w:p w14:paraId="4E42347D">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综合管理</w:t>
            </w:r>
          </w:p>
          <w:p w14:paraId="4DB71109">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（10分）</w:t>
            </w:r>
          </w:p>
        </w:tc>
        <w:tc>
          <w:tcPr>
            <w:tcW w:w="6162" w:type="dxa"/>
            <w:tcBorders>
              <w:top w:val="nil"/>
              <w:left w:val="nil"/>
              <w:bottom w:val="single" w:color="auto" w:sz="4" w:space="0"/>
              <w:right w:val="single" w:color="auto" w:sz="4" w:space="0"/>
            </w:tcBorders>
            <w:noWrap w:val="0"/>
            <w:vAlign w:val="center"/>
          </w:tcPr>
          <w:p w14:paraId="63112496">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1.项目部能够每月对不同科室发放满意度调查，并且得分不能低于90分</w:t>
            </w:r>
          </w:p>
        </w:tc>
        <w:tc>
          <w:tcPr>
            <w:tcW w:w="669" w:type="dxa"/>
            <w:tcBorders>
              <w:top w:val="nil"/>
              <w:left w:val="nil"/>
              <w:bottom w:val="single" w:color="auto" w:sz="4" w:space="0"/>
              <w:right w:val="single" w:color="auto" w:sz="4" w:space="0"/>
            </w:tcBorders>
            <w:noWrap w:val="0"/>
            <w:vAlign w:val="center"/>
          </w:tcPr>
          <w:p w14:paraId="262C926C">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5</w:t>
            </w:r>
          </w:p>
        </w:tc>
        <w:tc>
          <w:tcPr>
            <w:tcW w:w="802" w:type="dxa"/>
            <w:tcBorders>
              <w:top w:val="nil"/>
              <w:left w:val="nil"/>
              <w:bottom w:val="single" w:color="auto" w:sz="4" w:space="0"/>
              <w:right w:val="single" w:color="auto" w:sz="4" w:space="0"/>
            </w:tcBorders>
            <w:noWrap w:val="0"/>
            <w:vAlign w:val="center"/>
          </w:tcPr>
          <w:p w14:paraId="0DA1B859">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1794B604">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2E5AF3B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7D36DDA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2.管理人员定期召开质量管理例会，周例会、月员工大会</w:t>
            </w:r>
          </w:p>
        </w:tc>
        <w:tc>
          <w:tcPr>
            <w:tcW w:w="669" w:type="dxa"/>
            <w:tcBorders>
              <w:top w:val="nil"/>
              <w:left w:val="nil"/>
              <w:bottom w:val="single" w:color="auto" w:sz="4" w:space="0"/>
              <w:right w:val="single" w:color="auto" w:sz="4" w:space="0"/>
            </w:tcBorders>
            <w:noWrap w:val="0"/>
            <w:vAlign w:val="center"/>
          </w:tcPr>
          <w:p w14:paraId="6253C4C2">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211B1BAE">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3EA6AD3C">
        <w:tblPrEx>
          <w:tblCellMar>
            <w:top w:w="0" w:type="dxa"/>
            <w:left w:w="108" w:type="dxa"/>
            <w:bottom w:w="0" w:type="dxa"/>
            <w:right w:w="108" w:type="dxa"/>
          </w:tblCellMar>
        </w:tblPrEx>
        <w:trPr>
          <w:gridAfter w:val="1"/>
          <w:wAfter w:w="11" w:type="dxa"/>
          <w:trHeight w:val="431"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57BA7E97">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074761E7">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3.每月针对各岗位存在的问题和不足，有整改措施及方案</w:t>
            </w:r>
          </w:p>
        </w:tc>
        <w:tc>
          <w:tcPr>
            <w:tcW w:w="669" w:type="dxa"/>
            <w:tcBorders>
              <w:top w:val="nil"/>
              <w:left w:val="nil"/>
              <w:bottom w:val="single" w:color="auto" w:sz="4" w:space="0"/>
              <w:right w:val="single" w:color="auto" w:sz="4" w:space="0"/>
            </w:tcBorders>
            <w:noWrap w:val="0"/>
            <w:vAlign w:val="center"/>
          </w:tcPr>
          <w:p w14:paraId="7EF63D9F">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w:t>
            </w:r>
          </w:p>
        </w:tc>
        <w:tc>
          <w:tcPr>
            <w:tcW w:w="802" w:type="dxa"/>
            <w:tcBorders>
              <w:top w:val="nil"/>
              <w:left w:val="nil"/>
              <w:bottom w:val="single" w:color="auto" w:sz="4" w:space="0"/>
              <w:right w:val="single" w:color="auto" w:sz="4" w:space="0"/>
            </w:tcBorders>
            <w:noWrap w:val="0"/>
            <w:vAlign w:val="center"/>
          </w:tcPr>
          <w:p w14:paraId="72E201BE">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1BB3C2BF">
        <w:tblPrEx>
          <w:tblCellMar>
            <w:top w:w="0" w:type="dxa"/>
            <w:left w:w="108" w:type="dxa"/>
            <w:bottom w:w="0" w:type="dxa"/>
            <w:right w:w="108" w:type="dxa"/>
          </w:tblCellMar>
        </w:tblPrEx>
        <w:trPr>
          <w:gridAfter w:val="1"/>
          <w:wAfter w:w="11" w:type="dxa"/>
          <w:trHeight w:val="739" w:hRule="atLeast"/>
          <w:jc w:val="center"/>
        </w:trPr>
        <w:tc>
          <w:tcPr>
            <w:tcW w:w="1196" w:type="dxa"/>
            <w:vMerge w:val="restart"/>
            <w:tcBorders>
              <w:top w:val="nil"/>
              <w:left w:val="single" w:color="auto" w:sz="4" w:space="0"/>
              <w:bottom w:val="single" w:color="000000" w:sz="4" w:space="0"/>
              <w:right w:val="single" w:color="auto" w:sz="4" w:space="0"/>
            </w:tcBorders>
            <w:noWrap w:val="0"/>
            <w:vAlign w:val="center"/>
          </w:tcPr>
          <w:p w14:paraId="766C22D5">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送药管理</w:t>
            </w:r>
          </w:p>
          <w:p w14:paraId="0F53C3AB">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（20分）</w:t>
            </w:r>
          </w:p>
        </w:tc>
        <w:tc>
          <w:tcPr>
            <w:tcW w:w="6162" w:type="dxa"/>
            <w:tcBorders>
              <w:top w:val="nil"/>
              <w:left w:val="nil"/>
              <w:bottom w:val="single" w:color="auto" w:sz="4" w:space="0"/>
              <w:right w:val="single" w:color="auto" w:sz="4" w:space="0"/>
            </w:tcBorders>
            <w:noWrap w:val="0"/>
            <w:vAlign w:val="center"/>
          </w:tcPr>
          <w:p w14:paraId="42DDCBE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1.送药做到认真查对:药品有无破损情况，在送药单上双方签字，数量问题科室和药房沟通良好及时应答。</w:t>
            </w:r>
          </w:p>
        </w:tc>
        <w:tc>
          <w:tcPr>
            <w:tcW w:w="669" w:type="dxa"/>
            <w:tcBorders>
              <w:top w:val="nil"/>
              <w:left w:val="nil"/>
              <w:bottom w:val="single" w:color="auto" w:sz="4" w:space="0"/>
              <w:right w:val="single" w:color="auto" w:sz="4" w:space="0"/>
            </w:tcBorders>
            <w:noWrap w:val="0"/>
            <w:vAlign w:val="center"/>
          </w:tcPr>
          <w:p w14:paraId="1BC8B1EA">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5</w:t>
            </w:r>
          </w:p>
        </w:tc>
        <w:tc>
          <w:tcPr>
            <w:tcW w:w="802" w:type="dxa"/>
            <w:tcBorders>
              <w:top w:val="nil"/>
              <w:left w:val="nil"/>
              <w:bottom w:val="single" w:color="auto" w:sz="4" w:space="0"/>
              <w:right w:val="single" w:color="auto" w:sz="4" w:space="0"/>
            </w:tcBorders>
            <w:noWrap w:val="0"/>
            <w:vAlign w:val="center"/>
          </w:tcPr>
          <w:p w14:paraId="5A258DE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4874E7F6">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7749B33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1E1D220E">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2.抢救药品、冷链等药品限时送达科室并签字（5-10分钟内）</w:t>
            </w:r>
          </w:p>
        </w:tc>
        <w:tc>
          <w:tcPr>
            <w:tcW w:w="669" w:type="dxa"/>
            <w:tcBorders>
              <w:top w:val="nil"/>
              <w:left w:val="nil"/>
              <w:bottom w:val="single" w:color="auto" w:sz="4" w:space="0"/>
              <w:right w:val="single" w:color="auto" w:sz="4" w:space="0"/>
            </w:tcBorders>
            <w:noWrap w:val="0"/>
            <w:vAlign w:val="center"/>
          </w:tcPr>
          <w:p w14:paraId="44999BA0">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5</w:t>
            </w:r>
          </w:p>
        </w:tc>
        <w:tc>
          <w:tcPr>
            <w:tcW w:w="802" w:type="dxa"/>
            <w:tcBorders>
              <w:top w:val="nil"/>
              <w:left w:val="nil"/>
              <w:bottom w:val="single" w:color="auto" w:sz="4" w:space="0"/>
              <w:right w:val="single" w:color="auto" w:sz="4" w:space="0"/>
            </w:tcBorders>
            <w:noWrap w:val="0"/>
            <w:vAlign w:val="center"/>
          </w:tcPr>
          <w:p w14:paraId="6BCFDCE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128EF414">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19691499">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0E14C323">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3.药品封箱是否完好，送到科室时安全扎带无松开或剪开痕迹</w:t>
            </w:r>
          </w:p>
        </w:tc>
        <w:tc>
          <w:tcPr>
            <w:tcW w:w="669" w:type="dxa"/>
            <w:tcBorders>
              <w:top w:val="nil"/>
              <w:left w:val="nil"/>
              <w:bottom w:val="single" w:color="auto" w:sz="4" w:space="0"/>
              <w:right w:val="single" w:color="auto" w:sz="4" w:space="0"/>
            </w:tcBorders>
            <w:noWrap w:val="0"/>
            <w:vAlign w:val="center"/>
          </w:tcPr>
          <w:p w14:paraId="50ACCF4E">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5</w:t>
            </w:r>
          </w:p>
        </w:tc>
        <w:tc>
          <w:tcPr>
            <w:tcW w:w="802" w:type="dxa"/>
            <w:tcBorders>
              <w:top w:val="nil"/>
              <w:left w:val="nil"/>
              <w:bottom w:val="single" w:color="auto" w:sz="4" w:space="0"/>
              <w:right w:val="single" w:color="auto" w:sz="4" w:space="0"/>
            </w:tcBorders>
            <w:noWrap w:val="0"/>
            <w:vAlign w:val="center"/>
          </w:tcPr>
          <w:p w14:paraId="1A86C44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4F4EA52A">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0557535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340A5BD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4.常规药、临时药能够按时、无误准确送达科室</w:t>
            </w:r>
          </w:p>
        </w:tc>
        <w:tc>
          <w:tcPr>
            <w:tcW w:w="669" w:type="dxa"/>
            <w:tcBorders>
              <w:top w:val="nil"/>
              <w:left w:val="nil"/>
              <w:bottom w:val="single" w:color="auto" w:sz="4" w:space="0"/>
              <w:right w:val="single" w:color="auto" w:sz="4" w:space="0"/>
            </w:tcBorders>
            <w:noWrap w:val="0"/>
            <w:vAlign w:val="center"/>
          </w:tcPr>
          <w:p w14:paraId="69FEDFA0">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5</w:t>
            </w:r>
          </w:p>
        </w:tc>
        <w:tc>
          <w:tcPr>
            <w:tcW w:w="802" w:type="dxa"/>
            <w:tcBorders>
              <w:top w:val="nil"/>
              <w:left w:val="nil"/>
              <w:bottom w:val="single" w:color="auto" w:sz="4" w:space="0"/>
              <w:right w:val="single" w:color="auto" w:sz="4" w:space="0"/>
            </w:tcBorders>
            <w:noWrap w:val="0"/>
            <w:vAlign w:val="center"/>
          </w:tcPr>
          <w:p w14:paraId="2497CF6F">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2F4AF8F4">
        <w:tblPrEx>
          <w:tblCellMar>
            <w:top w:w="0" w:type="dxa"/>
            <w:left w:w="108" w:type="dxa"/>
            <w:bottom w:w="0" w:type="dxa"/>
            <w:right w:w="108" w:type="dxa"/>
          </w:tblCellMar>
        </w:tblPrEx>
        <w:trPr>
          <w:gridAfter w:val="1"/>
          <w:wAfter w:w="11" w:type="dxa"/>
          <w:trHeight w:val="739" w:hRule="atLeast"/>
          <w:jc w:val="center"/>
        </w:trPr>
        <w:tc>
          <w:tcPr>
            <w:tcW w:w="1196" w:type="dxa"/>
            <w:vMerge w:val="restart"/>
            <w:tcBorders>
              <w:top w:val="nil"/>
              <w:left w:val="single" w:color="auto" w:sz="4" w:space="0"/>
              <w:bottom w:val="single" w:color="auto" w:sz="4" w:space="0"/>
              <w:right w:val="single" w:color="auto" w:sz="4" w:space="0"/>
            </w:tcBorders>
            <w:noWrap w:val="0"/>
            <w:vAlign w:val="center"/>
          </w:tcPr>
          <w:p w14:paraId="0B8AD14C">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陪检服务（10分）</w:t>
            </w:r>
          </w:p>
        </w:tc>
        <w:tc>
          <w:tcPr>
            <w:tcW w:w="6162" w:type="dxa"/>
            <w:tcBorders>
              <w:top w:val="nil"/>
              <w:left w:val="nil"/>
              <w:bottom w:val="single" w:color="auto" w:sz="4" w:space="0"/>
              <w:right w:val="single" w:color="auto" w:sz="4" w:space="0"/>
            </w:tcBorders>
            <w:noWrap w:val="0"/>
            <w:vAlign w:val="center"/>
          </w:tcPr>
          <w:p w14:paraId="79B4D3C7">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1.有特殊要求的陪检、转运病人，离开病区前向护士问清相关注意事项，保证患者安全</w:t>
            </w:r>
          </w:p>
        </w:tc>
        <w:tc>
          <w:tcPr>
            <w:tcW w:w="669" w:type="dxa"/>
            <w:tcBorders>
              <w:top w:val="nil"/>
              <w:left w:val="nil"/>
              <w:bottom w:val="single" w:color="auto" w:sz="4" w:space="0"/>
              <w:right w:val="single" w:color="auto" w:sz="4" w:space="0"/>
            </w:tcBorders>
            <w:noWrap w:val="0"/>
            <w:vAlign w:val="center"/>
          </w:tcPr>
          <w:p w14:paraId="66853C4A">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w:t>
            </w:r>
          </w:p>
        </w:tc>
        <w:tc>
          <w:tcPr>
            <w:tcW w:w="802" w:type="dxa"/>
            <w:tcBorders>
              <w:top w:val="nil"/>
              <w:left w:val="nil"/>
              <w:bottom w:val="single" w:color="auto" w:sz="4" w:space="0"/>
              <w:right w:val="single" w:color="auto" w:sz="4" w:space="0"/>
            </w:tcBorders>
            <w:noWrap w:val="0"/>
            <w:vAlign w:val="center"/>
          </w:tcPr>
          <w:p w14:paraId="47358015">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422F8135">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single" w:color="auto" w:sz="4" w:space="0"/>
              <w:left w:val="single" w:color="auto" w:sz="4" w:space="0"/>
              <w:bottom w:val="single" w:color="auto" w:sz="4" w:space="0"/>
              <w:right w:val="single" w:color="auto" w:sz="4" w:space="0"/>
            </w:tcBorders>
            <w:noWrap w:val="0"/>
            <w:vAlign w:val="center"/>
          </w:tcPr>
          <w:p w14:paraId="795F473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single" w:color="auto" w:sz="4" w:space="0"/>
              <w:left w:val="nil"/>
              <w:bottom w:val="single" w:color="auto" w:sz="4" w:space="0"/>
              <w:right w:val="single" w:color="auto" w:sz="4" w:space="0"/>
            </w:tcBorders>
            <w:noWrap w:val="0"/>
            <w:vAlign w:val="center"/>
          </w:tcPr>
          <w:p w14:paraId="4996CA9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2.陪检过程中需暂离患者时，应做好解释工作，不得让患者自行往返</w:t>
            </w:r>
          </w:p>
        </w:tc>
        <w:tc>
          <w:tcPr>
            <w:tcW w:w="669" w:type="dxa"/>
            <w:tcBorders>
              <w:top w:val="single" w:color="auto" w:sz="4" w:space="0"/>
              <w:left w:val="nil"/>
              <w:bottom w:val="single" w:color="auto" w:sz="4" w:space="0"/>
              <w:right w:val="single" w:color="auto" w:sz="4" w:space="0"/>
            </w:tcBorders>
            <w:noWrap w:val="0"/>
            <w:vAlign w:val="center"/>
          </w:tcPr>
          <w:p w14:paraId="6043F5E7">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single" w:color="auto" w:sz="4" w:space="0"/>
              <w:left w:val="nil"/>
              <w:bottom w:val="single" w:color="auto" w:sz="4" w:space="0"/>
              <w:right w:val="single" w:color="auto" w:sz="4" w:space="0"/>
            </w:tcBorders>
            <w:noWrap w:val="0"/>
            <w:vAlign w:val="center"/>
          </w:tcPr>
          <w:p w14:paraId="172875A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492D2EE3">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single" w:color="auto" w:sz="4" w:space="0"/>
              <w:left w:val="single" w:color="auto" w:sz="4" w:space="0"/>
              <w:bottom w:val="single" w:color="000000" w:sz="4" w:space="0"/>
              <w:right w:val="single" w:color="auto" w:sz="4" w:space="0"/>
            </w:tcBorders>
            <w:noWrap w:val="0"/>
            <w:vAlign w:val="center"/>
          </w:tcPr>
          <w:p w14:paraId="21980AF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single" w:color="auto" w:sz="4" w:space="0"/>
              <w:left w:val="nil"/>
              <w:bottom w:val="single" w:color="auto" w:sz="4" w:space="0"/>
              <w:right w:val="single" w:color="auto" w:sz="4" w:space="0"/>
            </w:tcBorders>
            <w:noWrap w:val="0"/>
            <w:vAlign w:val="center"/>
          </w:tcPr>
          <w:p w14:paraId="786EF3B3">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3.应用运送工具时，需先检查工具的安全性，用后将工具完整归还</w:t>
            </w:r>
          </w:p>
        </w:tc>
        <w:tc>
          <w:tcPr>
            <w:tcW w:w="669" w:type="dxa"/>
            <w:tcBorders>
              <w:top w:val="single" w:color="auto" w:sz="4" w:space="0"/>
              <w:left w:val="nil"/>
              <w:bottom w:val="single" w:color="auto" w:sz="4" w:space="0"/>
              <w:right w:val="single" w:color="auto" w:sz="4" w:space="0"/>
            </w:tcBorders>
            <w:noWrap w:val="0"/>
            <w:vAlign w:val="center"/>
          </w:tcPr>
          <w:p w14:paraId="47F9B21E">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single" w:color="auto" w:sz="4" w:space="0"/>
              <w:left w:val="nil"/>
              <w:bottom w:val="single" w:color="auto" w:sz="4" w:space="0"/>
              <w:right w:val="single" w:color="auto" w:sz="4" w:space="0"/>
            </w:tcBorders>
            <w:noWrap w:val="0"/>
            <w:vAlign w:val="center"/>
          </w:tcPr>
          <w:p w14:paraId="3743B8C3">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0C026282">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079C7BB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2A86E6E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4.对行动不便或意识障碍的患者，应全程陪送，不得离开，必要时给与帮助</w:t>
            </w:r>
          </w:p>
        </w:tc>
        <w:tc>
          <w:tcPr>
            <w:tcW w:w="669" w:type="dxa"/>
            <w:tcBorders>
              <w:top w:val="nil"/>
              <w:left w:val="nil"/>
              <w:bottom w:val="single" w:color="auto" w:sz="4" w:space="0"/>
              <w:right w:val="single" w:color="auto" w:sz="4" w:space="0"/>
            </w:tcBorders>
            <w:noWrap w:val="0"/>
            <w:vAlign w:val="center"/>
          </w:tcPr>
          <w:p w14:paraId="0A3F91D2">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0F4ACAA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13B76C47">
        <w:tblPrEx>
          <w:tblCellMar>
            <w:top w:w="0" w:type="dxa"/>
            <w:left w:w="108" w:type="dxa"/>
            <w:bottom w:w="0" w:type="dxa"/>
            <w:right w:w="108" w:type="dxa"/>
          </w:tblCellMar>
        </w:tblPrEx>
        <w:trPr>
          <w:gridAfter w:val="1"/>
          <w:wAfter w:w="11" w:type="dxa"/>
          <w:trHeight w:val="373" w:hRule="atLeast"/>
          <w:jc w:val="center"/>
        </w:trPr>
        <w:tc>
          <w:tcPr>
            <w:tcW w:w="1196" w:type="dxa"/>
            <w:vMerge w:val="restart"/>
            <w:tcBorders>
              <w:top w:val="nil"/>
              <w:left w:val="single" w:color="auto" w:sz="4" w:space="0"/>
              <w:right w:val="single" w:color="auto" w:sz="4" w:space="0"/>
            </w:tcBorders>
            <w:noWrap w:val="0"/>
            <w:vAlign w:val="center"/>
          </w:tcPr>
          <w:p w14:paraId="0E57C0B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标本运送（10分）</w:t>
            </w:r>
          </w:p>
        </w:tc>
        <w:tc>
          <w:tcPr>
            <w:tcW w:w="6162" w:type="dxa"/>
            <w:tcBorders>
              <w:top w:val="nil"/>
              <w:left w:val="nil"/>
              <w:bottom w:val="single" w:color="auto" w:sz="4" w:space="0"/>
              <w:right w:val="single" w:color="auto" w:sz="4" w:space="0"/>
            </w:tcBorders>
            <w:noWrap w:val="0"/>
            <w:vAlign w:val="center"/>
          </w:tcPr>
          <w:p w14:paraId="17E8B95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1.转运标本时，注意保密性，避免泄露患者隐私</w:t>
            </w:r>
          </w:p>
        </w:tc>
        <w:tc>
          <w:tcPr>
            <w:tcW w:w="669" w:type="dxa"/>
            <w:tcBorders>
              <w:top w:val="nil"/>
              <w:left w:val="nil"/>
              <w:bottom w:val="single" w:color="auto" w:sz="4" w:space="0"/>
              <w:right w:val="single" w:color="auto" w:sz="4" w:space="0"/>
            </w:tcBorders>
            <w:noWrap w:val="0"/>
            <w:vAlign w:val="center"/>
          </w:tcPr>
          <w:p w14:paraId="48BB350D">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2C924B9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r>
      <w:tr w14:paraId="732AD377">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left w:val="single" w:color="auto" w:sz="4" w:space="0"/>
              <w:right w:val="single" w:color="auto" w:sz="4" w:space="0"/>
            </w:tcBorders>
            <w:noWrap w:val="0"/>
            <w:vAlign w:val="center"/>
          </w:tcPr>
          <w:p w14:paraId="6E23C680">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604D95D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2.标本应尽快送往实验室，以保证新鲜度，急查项目需限时送达。</w:t>
            </w:r>
          </w:p>
        </w:tc>
        <w:tc>
          <w:tcPr>
            <w:tcW w:w="669" w:type="dxa"/>
            <w:tcBorders>
              <w:top w:val="nil"/>
              <w:left w:val="nil"/>
              <w:bottom w:val="single" w:color="auto" w:sz="4" w:space="0"/>
              <w:right w:val="single" w:color="auto" w:sz="4" w:space="0"/>
            </w:tcBorders>
            <w:noWrap w:val="0"/>
            <w:vAlign w:val="center"/>
          </w:tcPr>
          <w:p w14:paraId="7702C218">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lang w:eastAsia="zh-CN"/>
              </w:rPr>
            </w:pPr>
            <w:r>
              <w:rPr>
                <w:rFonts w:hint="eastAsia" w:ascii="宋体" w:hAnsi="宋体" w:cs="宋体"/>
                <w:color w:val="000000"/>
                <w:kern w:val="0"/>
                <w:sz w:val="24"/>
                <w:highlight w:val="none"/>
                <w:lang w:val="en-US" w:eastAsia="zh-CN"/>
              </w:rPr>
              <w:t>2</w:t>
            </w:r>
          </w:p>
        </w:tc>
        <w:tc>
          <w:tcPr>
            <w:tcW w:w="802" w:type="dxa"/>
            <w:tcBorders>
              <w:top w:val="nil"/>
              <w:left w:val="nil"/>
              <w:bottom w:val="single" w:color="auto" w:sz="4" w:space="0"/>
              <w:right w:val="single" w:color="auto" w:sz="4" w:space="0"/>
            </w:tcBorders>
            <w:noWrap w:val="0"/>
            <w:vAlign w:val="center"/>
          </w:tcPr>
          <w:p w14:paraId="3A7F8428">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r>
      <w:tr w14:paraId="574EC52A">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left w:val="single" w:color="auto" w:sz="4" w:space="0"/>
              <w:right w:val="single" w:color="auto" w:sz="4" w:space="0"/>
            </w:tcBorders>
            <w:noWrap w:val="0"/>
            <w:vAlign w:val="center"/>
          </w:tcPr>
          <w:p w14:paraId="7130A63B">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22959556">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3.标本的运送应遵循规定的运输温度要求，避免温度过高或过低导致标本质量变化</w:t>
            </w:r>
          </w:p>
        </w:tc>
        <w:tc>
          <w:tcPr>
            <w:tcW w:w="669" w:type="dxa"/>
            <w:tcBorders>
              <w:top w:val="nil"/>
              <w:left w:val="nil"/>
              <w:bottom w:val="single" w:color="auto" w:sz="4" w:space="0"/>
              <w:right w:val="single" w:color="auto" w:sz="4" w:space="0"/>
            </w:tcBorders>
            <w:noWrap w:val="0"/>
            <w:vAlign w:val="center"/>
          </w:tcPr>
          <w:p w14:paraId="0172AFEB">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581DC56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r>
      <w:tr w14:paraId="193AEF2E">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left w:val="single" w:color="auto" w:sz="4" w:space="0"/>
              <w:bottom w:val="single" w:color="000000" w:sz="4" w:space="0"/>
              <w:right w:val="single" w:color="auto" w:sz="4" w:space="0"/>
            </w:tcBorders>
            <w:noWrap w:val="0"/>
            <w:vAlign w:val="center"/>
          </w:tcPr>
          <w:p w14:paraId="53EE2787">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07D159D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4.标本运送应注意安全性，防止标本泄漏、破损、被盗等情况发生</w:t>
            </w:r>
          </w:p>
        </w:tc>
        <w:tc>
          <w:tcPr>
            <w:tcW w:w="669" w:type="dxa"/>
            <w:tcBorders>
              <w:top w:val="nil"/>
              <w:left w:val="nil"/>
              <w:bottom w:val="single" w:color="auto" w:sz="4" w:space="0"/>
              <w:right w:val="single" w:color="auto" w:sz="4" w:space="0"/>
            </w:tcBorders>
            <w:noWrap w:val="0"/>
            <w:vAlign w:val="center"/>
          </w:tcPr>
          <w:p w14:paraId="5DB3AF5F">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69C7283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r>
      <w:tr w14:paraId="42E607AA">
        <w:tblPrEx>
          <w:tblCellMar>
            <w:top w:w="0" w:type="dxa"/>
            <w:left w:w="108" w:type="dxa"/>
            <w:bottom w:w="0" w:type="dxa"/>
            <w:right w:w="108" w:type="dxa"/>
          </w:tblCellMar>
        </w:tblPrEx>
        <w:trPr>
          <w:gridAfter w:val="1"/>
          <w:wAfter w:w="11" w:type="dxa"/>
          <w:trHeight w:val="739" w:hRule="atLeast"/>
          <w:jc w:val="center"/>
        </w:trPr>
        <w:tc>
          <w:tcPr>
            <w:tcW w:w="1196" w:type="dxa"/>
            <w:vMerge w:val="restart"/>
            <w:tcBorders>
              <w:top w:val="nil"/>
              <w:left w:val="single" w:color="auto" w:sz="4" w:space="0"/>
              <w:right w:val="single" w:color="auto" w:sz="4" w:space="0"/>
            </w:tcBorders>
            <w:noWrap w:val="0"/>
            <w:vAlign w:val="center"/>
          </w:tcPr>
          <w:p w14:paraId="431F0C6A">
            <w:pPr>
              <w:pageBreakBefore w:val="0"/>
              <w:widowControl/>
              <w:kinsoku/>
              <w:wordWrap/>
              <w:overflowPunct/>
              <w:topLinePunct w:val="0"/>
              <w:bidi w:val="0"/>
              <w:adjustRightInd w:val="0"/>
              <w:snapToGrid w:val="0"/>
              <w:spacing w:after="120" w:line="360" w:lineRule="auto"/>
              <w:jc w:val="center"/>
              <w:textAlignment w:val="auto"/>
              <w:rPr>
                <w:rFonts w:hint="eastAsia" w:ascii="宋体" w:hAnsi="宋体" w:eastAsia="宋体" w:cs="宋体"/>
                <w:color w:val="000000"/>
                <w:kern w:val="0"/>
                <w:sz w:val="24"/>
                <w:szCs w:val="28"/>
                <w:highlight w:val="none"/>
                <w:lang w:val="en-US" w:eastAsia="zh-CN" w:bidi="ar-SA"/>
              </w:rPr>
            </w:pPr>
            <w:r>
              <w:rPr>
                <w:rFonts w:hint="eastAsia" w:ascii="宋体" w:hAnsi="宋体" w:eastAsia="宋体" w:cs="宋体"/>
                <w:color w:val="000000"/>
                <w:kern w:val="0"/>
                <w:sz w:val="24"/>
                <w:szCs w:val="28"/>
                <w:highlight w:val="none"/>
                <w:lang w:val="en-US" w:eastAsia="zh-CN" w:bidi="ar-SA"/>
              </w:rPr>
              <w:t>其他运送管理</w:t>
            </w:r>
          </w:p>
          <w:p w14:paraId="5F506D9E">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宋体"/>
                <w:color w:val="000000"/>
                <w:kern w:val="0"/>
                <w:sz w:val="24"/>
                <w:szCs w:val="28"/>
                <w:highlight w:val="none"/>
                <w:lang w:val="en-US" w:eastAsia="zh-CN" w:bidi="ar-SA"/>
              </w:rPr>
            </w:pPr>
            <w:r>
              <w:rPr>
                <w:rFonts w:hint="eastAsia" w:ascii="宋体" w:hAnsi="宋体" w:eastAsia="宋体" w:cs="宋体"/>
                <w:color w:val="000000"/>
                <w:kern w:val="0"/>
                <w:sz w:val="24"/>
                <w:szCs w:val="28"/>
                <w:highlight w:val="none"/>
                <w:lang w:val="en-US" w:eastAsia="zh-CN" w:bidi="ar-SA"/>
              </w:rPr>
              <w:t>（10分）</w:t>
            </w:r>
          </w:p>
        </w:tc>
        <w:tc>
          <w:tcPr>
            <w:tcW w:w="6162" w:type="dxa"/>
            <w:tcBorders>
              <w:top w:val="nil"/>
              <w:left w:val="nil"/>
              <w:bottom w:val="single" w:color="auto" w:sz="4" w:space="0"/>
              <w:right w:val="single" w:color="auto" w:sz="4" w:space="0"/>
            </w:tcBorders>
            <w:noWrap w:val="0"/>
            <w:vAlign w:val="center"/>
          </w:tcPr>
          <w:p w14:paraId="30FCE6A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1.能够服从科室领导的工作安排，并能够及时完成临时工作任务。</w:t>
            </w:r>
          </w:p>
        </w:tc>
        <w:tc>
          <w:tcPr>
            <w:tcW w:w="669" w:type="dxa"/>
            <w:tcBorders>
              <w:top w:val="nil"/>
              <w:left w:val="nil"/>
              <w:bottom w:val="single" w:color="auto" w:sz="4" w:space="0"/>
              <w:right w:val="single" w:color="auto" w:sz="4" w:space="0"/>
            </w:tcBorders>
            <w:noWrap w:val="0"/>
            <w:vAlign w:val="center"/>
          </w:tcPr>
          <w:p w14:paraId="48FA35B3">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6F6C9164">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5E104986">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left w:val="single" w:color="auto" w:sz="4" w:space="0"/>
              <w:right w:val="single" w:color="auto" w:sz="4" w:space="0"/>
            </w:tcBorders>
            <w:noWrap w:val="0"/>
            <w:vAlign w:val="center"/>
          </w:tcPr>
          <w:p w14:paraId="71D47C36">
            <w:pPr>
              <w:pageBreakBefore w:val="0"/>
              <w:kinsoku/>
              <w:wordWrap/>
              <w:overflowPunct/>
              <w:topLinePunct w:val="0"/>
              <w:bidi w:val="0"/>
              <w:adjustRightInd w:val="0"/>
              <w:snapToGrid w:val="0"/>
              <w:spacing w:line="360" w:lineRule="auto"/>
              <w:textAlignment w:val="auto"/>
              <w:rPr>
                <w:rFonts w:hint="eastAsia" w:ascii="宋体" w:hAnsi="宋体" w:eastAsia="宋体"/>
                <w:color w:val="000000"/>
                <w:sz w:val="24"/>
                <w:highlight w:val="none"/>
              </w:rPr>
            </w:pPr>
          </w:p>
        </w:tc>
        <w:tc>
          <w:tcPr>
            <w:tcW w:w="6162" w:type="dxa"/>
            <w:tcBorders>
              <w:top w:val="single" w:color="auto" w:sz="4" w:space="0"/>
              <w:left w:val="nil"/>
              <w:bottom w:val="single" w:color="auto" w:sz="4" w:space="0"/>
              <w:right w:val="single" w:color="auto" w:sz="4" w:space="0"/>
            </w:tcBorders>
            <w:noWrap w:val="0"/>
            <w:vAlign w:val="center"/>
          </w:tcPr>
          <w:p w14:paraId="7FF695D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2.确保运送物资的完好无损，无遗漏，数量准确。</w:t>
            </w:r>
          </w:p>
        </w:tc>
        <w:tc>
          <w:tcPr>
            <w:tcW w:w="669" w:type="dxa"/>
            <w:tcBorders>
              <w:top w:val="single" w:color="auto" w:sz="4" w:space="0"/>
              <w:left w:val="nil"/>
              <w:bottom w:val="single" w:color="auto" w:sz="4" w:space="0"/>
              <w:right w:val="single" w:color="auto" w:sz="4" w:space="0"/>
            </w:tcBorders>
            <w:noWrap w:val="0"/>
            <w:vAlign w:val="center"/>
          </w:tcPr>
          <w:p w14:paraId="62C6E7B2">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single" w:color="auto" w:sz="4" w:space="0"/>
              <w:left w:val="nil"/>
              <w:bottom w:val="single" w:color="auto" w:sz="4" w:space="0"/>
              <w:right w:val="single" w:color="auto" w:sz="4" w:space="0"/>
            </w:tcBorders>
            <w:noWrap w:val="0"/>
            <w:vAlign w:val="center"/>
          </w:tcPr>
          <w:p w14:paraId="2F5E1105">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5315929B">
        <w:tblPrEx>
          <w:tblCellMar>
            <w:top w:w="0" w:type="dxa"/>
            <w:left w:w="108" w:type="dxa"/>
            <w:bottom w:w="0" w:type="dxa"/>
            <w:right w:w="108" w:type="dxa"/>
          </w:tblCellMar>
        </w:tblPrEx>
        <w:trPr>
          <w:gridAfter w:val="1"/>
          <w:wAfter w:w="11" w:type="dxa"/>
          <w:trHeight w:val="480" w:hRule="atLeast"/>
          <w:jc w:val="center"/>
        </w:trPr>
        <w:tc>
          <w:tcPr>
            <w:tcW w:w="1196" w:type="dxa"/>
            <w:vMerge w:val="continue"/>
            <w:tcBorders>
              <w:left w:val="single" w:color="auto" w:sz="4" w:space="0"/>
              <w:right w:val="single" w:color="auto" w:sz="4" w:space="0"/>
            </w:tcBorders>
            <w:noWrap w:val="0"/>
            <w:vAlign w:val="center"/>
          </w:tcPr>
          <w:p w14:paraId="27B45F6C">
            <w:pPr>
              <w:pageBreakBefore w:val="0"/>
              <w:kinsoku/>
              <w:wordWrap/>
              <w:overflowPunct/>
              <w:topLinePunct w:val="0"/>
              <w:bidi w:val="0"/>
              <w:adjustRightInd w:val="0"/>
              <w:snapToGrid w:val="0"/>
              <w:spacing w:line="360" w:lineRule="auto"/>
              <w:textAlignment w:val="auto"/>
              <w:rPr>
                <w:rFonts w:hint="eastAsia" w:ascii="宋体" w:hAnsi="宋体" w:eastAsia="宋体"/>
                <w:color w:val="000000"/>
                <w:sz w:val="24"/>
                <w:highlight w:val="none"/>
              </w:rPr>
            </w:pPr>
          </w:p>
        </w:tc>
        <w:tc>
          <w:tcPr>
            <w:tcW w:w="6162" w:type="dxa"/>
            <w:tcBorders>
              <w:top w:val="single" w:color="auto" w:sz="4" w:space="0"/>
              <w:left w:val="nil"/>
              <w:bottom w:val="single" w:color="auto" w:sz="4" w:space="0"/>
              <w:right w:val="single" w:color="auto" w:sz="4" w:space="0"/>
            </w:tcBorders>
            <w:noWrap w:val="0"/>
            <w:vAlign w:val="center"/>
          </w:tcPr>
          <w:p w14:paraId="03491E4A">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3.收送过程中服务态度良好，无临床科室服务不良的投诉。</w:t>
            </w:r>
          </w:p>
        </w:tc>
        <w:tc>
          <w:tcPr>
            <w:tcW w:w="669" w:type="dxa"/>
            <w:tcBorders>
              <w:top w:val="single" w:color="auto" w:sz="4" w:space="0"/>
              <w:left w:val="nil"/>
              <w:bottom w:val="single" w:color="auto" w:sz="4" w:space="0"/>
              <w:right w:val="single" w:color="auto" w:sz="4" w:space="0"/>
            </w:tcBorders>
            <w:noWrap w:val="0"/>
            <w:vAlign w:val="center"/>
          </w:tcPr>
          <w:p w14:paraId="1784A1FE">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single" w:color="auto" w:sz="4" w:space="0"/>
              <w:left w:val="nil"/>
              <w:bottom w:val="single" w:color="auto" w:sz="4" w:space="0"/>
              <w:right w:val="single" w:color="auto" w:sz="4" w:space="0"/>
            </w:tcBorders>
            <w:noWrap w:val="0"/>
            <w:vAlign w:val="center"/>
          </w:tcPr>
          <w:p w14:paraId="6DDE4BDD">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537A0E1A">
        <w:tblPrEx>
          <w:tblCellMar>
            <w:top w:w="0" w:type="dxa"/>
            <w:left w:w="108" w:type="dxa"/>
            <w:bottom w:w="0" w:type="dxa"/>
            <w:right w:w="108" w:type="dxa"/>
          </w:tblCellMar>
        </w:tblPrEx>
        <w:trPr>
          <w:gridAfter w:val="1"/>
          <w:wAfter w:w="11" w:type="dxa"/>
          <w:trHeight w:val="403" w:hRule="atLeast"/>
          <w:jc w:val="center"/>
        </w:trPr>
        <w:tc>
          <w:tcPr>
            <w:tcW w:w="1196" w:type="dxa"/>
            <w:vMerge w:val="continue"/>
            <w:tcBorders>
              <w:left w:val="single" w:color="auto" w:sz="4" w:space="0"/>
              <w:right w:val="single" w:color="auto" w:sz="4" w:space="0"/>
            </w:tcBorders>
            <w:noWrap w:val="0"/>
            <w:vAlign w:val="center"/>
          </w:tcPr>
          <w:p w14:paraId="5D2F574F">
            <w:pPr>
              <w:pageBreakBefore w:val="0"/>
              <w:kinsoku/>
              <w:wordWrap/>
              <w:overflowPunct/>
              <w:topLinePunct w:val="0"/>
              <w:bidi w:val="0"/>
              <w:adjustRightInd w:val="0"/>
              <w:snapToGrid w:val="0"/>
              <w:spacing w:line="360" w:lineRule="auto"/>
              <w:textAlignment w:val="auto"/>
              <w:rPr>
                <w:rFonts w:hint="eastAsia" w:ascii="宋体" w:hAnsi="宋体" w:eastAsia="宋体"/>
                <w:color w:val="000000"/>
                <w:sz w:val="24"/>
                <w:highlight w:val="none"/>
              </w:rPr>
            </w:pPr>
          </w:p>
        </w:tc>
        <w:tc>
          <w:tcPr>
            <w:tcW w:w="6162" w:type="dxa"/>
            <w:tcBorders>
              <w:top w:val="single" w:color="auto" w:sz="4" w:space="0"/>
              <w:left w:val="nil"/>
              <w:bottom w:val="single" w:color="auto" w:sz="4" w:space="0"/>
              <w:right w:val="single" w:color="auto" w:sz="4" w:space="0"/>
            </w:tcBorders>
            <w:noWrap w:val="0"/>
            <w:vAlign w:val="center"/>
          </w:tcPr>
          <w:p w14:paraId="560B5CE5">
            <w:pPr>
              <w:pageBreakBefore w:val="0"/>
              <w:widowControl/>
              <w:tabs>
                <w:tab w:val="left" w:pos="6424"/>
              </w:tabs>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4.岗位技能熟练，能够灵活处置突发事件</w:t>
            </w:r>
          </w:p>
        </w:tc>
        <w:tc>
          <w:tcPr>
            <w:tcW w:w="669" w:type="dxa"/>
            <w:tcBorders>
              <w:top w:val="single" w:color="auto" w:sz="4" w:space="0"/>
              <w:left w:val="nil"/>
              <w:bottom w:val="single" w:color="auto" w:sz="4" w:space="0"/>
              <w:right w:val="single" w:color="auto" w:sz="4" w:space="0"/>
            </w:tcBorders>
            <w:noWrap w:val="0"/>
            <w:vAlign w:val="center"/>
          </w:tcPr>
          <w:p w14:paraId="3C001428">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single" w:color="auto" w:sz="4" w:space="0"/>
              <w:left w:val="nil"/>
              <w:bottom w:val="single" w:color="auto" w:sz="4" w:space="0"/>
              <w:right w:val="single" w:color="auto" w:sz="4" w:space="0"/>
            </w:tcBorders>
            <w:noWrap w:val="0"/>
            <w:vAlign w:val="center"/>
          </w:tcPr>
          <w:p w14:paraId="4D66CEB0">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7A4E39D7">
        <w:tblPrEx>
          <w:tblCellMar>
            <w:top w:w="0" w:type="dxa"/>
            <w:left w:w="108" w:type="dxa"/>
            <w:bottom w:w="0" w:type="dxa"/>
            <w:right w:w="108" w:type="dxa"/>
          </w:tblCellMar>
        </w:tblPrEx>
        <w:trPr>
          <w:gridAfter w:val="1"/>
          <w:wAfter w:w="11" w:type="dxa"/>
          <w:trHeight w:val="403" w:hRule="atLeast"/>
          <w:jc w:val="center"/>
        </w:trPr>
        <w:tc>
          <w:tcPr>
            <w:tcW w:w="1196" w:type="dxa"/>
            <w:vMerge w:val="continue"/>
            <w:tcBorders>
              <w:left w:val="single" w:color="auto" w:sz="4" w:space="0"/>
              <w:right w:val="single" w:color="auto" w:sz="4" w:space="0"/>
            </w:tcBorders>
            <w:noWrap w:val="0"/>
            <w:vAlign w:val="center"/>
          </w:tcPr>
          <w:p w14:paraId="1DBE528D">
            <w:pPr>
              <w:pageBreakBefore w:val="0"/>
              <w:kinsoku/>
              <w:wordWrap/>
              <w:overflowPunct/>
              <w:topLinePunct w:val="0"/>
              <w:bidi w:val="0"/>
              <w:adjustRightInd w:val="0"/>
              <w:snapToGrid w:val="0"/>
              <w:spacing w:line="360" w:lineRule="auto"/>
              <w:textAlignment w:val="auto"/>
              <w:rPr>
                <w:rFonts w:hint="eastAsia" w:ascii="宋体" w:hAnsi="宋体" w:eastAsia="宋体"/>
                <w:color w:val="000000"/>
                <w:sz w:val="24"/>
                <w:highlight w:val="none"/>
              </w:rPr>
            </w:pPr>
          </w:p>
        </w:tc>
        <w:tc>
          <w:tcPr>
            <w:tcW w:w="6162" w:type="dxa"/>
            <w:tcBorders>
              <w:top w:val="single" w:color="auto" w:sz="4" w:space="0"/>
              <w:left w:val="nil"/>
              <w:bottom w:val="single" w:color="auto" w:sz="4" w:space="0"/>
              <w:right w:val="single" w:color="auto" w:sz="4" w:space="0"/>
            </w:tcBorders>
            <w:noWrap w:val="0"/>
            <w:vAlign w:val="center"/>
          </w:tcPr>
          <w:p w14:paraId="11227376">
            <w:pPr>
              <w:pageBreakBefore w:val="0"/>
              <w:widowControl/>
              <w:tabs>
                <w:tab w:val="left" w:pos="6424"/>
              </w:tabs>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5.及时完成运送任务，确保工作任务的完成</w:t>
            </w:r>
          </w:p>
        </w:tc>
        <w:tc>
          <w:tcPr>
            <w:tcW w:w="669" w:type="dxa"/>
            <w:tcBorders>
              <w:top w:val="single" w:color="auto" w:sz="4" w:space="0"/>
              <w:left w:val="nil"/>
              <w:bottom w:val="single" w:color="auto" w:sz="4" w:space="0"/>
              <w:right w:val="single" w:color="auto" w:sz="4" w:space="0"/>
            </w:tcBorders>
            <w:noWrap w:val="0"/>
            <w:vAlign w:val="center"/>
          </w:tcPr>
          <w:p w14:paraId="204A1A90">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single" w:color="auto" w:sz="4" w:space="0"/>
              <w:left w:val="nil"/>
              <w:bottom w:val="single" w:color="auto" w:sz="4" w:space="0"/>
              <w:right w:val="single" w:color="auto" w:sz="4" w:space="0"/>
            </w:tcBorders>
            <w:noWrap w:val="0"/>
            <w:vAlign w:val="center"/>
          </w:tcPr>
          <w:p w14:paraId="256327BE">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2179714C">
        <w:tblPrEx>
          <w:tblCellMar>
            <w:top w:w="0" w:type="dxa"/>
            <w:left w:w="108" w:type="dxa"/>
            <w:bottom w:w="0" w:type="dxa"/>
            <w:right w:w="108" w:type="dxa"/>
          </w:tblCellMar>
        </w:tblPrEx>
        <w:trPr>
          <w:gridAfter w:val="1"/>
          <w:wAfter w:w="11" w:type="dxa"/>
          <w:trHeight w:val="739" w:hRule="atLeast"/>
          <w:jc w:val="center"/>
        </w:trPr>
        <w:tc>
          <w:tcPr>
            <w:tcW w:w="1196" w:type="dxa"/>
            <w:vMerge w:val="continue"/>
            <w:tcBorders>
              <w:left w:val="single" w:color="auto" w:sz="4" w:space="0"/>
              <w:bottom w:val="single" w:color="auto" w:sz="4" w:space="0"/>
              <w:right w:val="single" w:color="auto" w:sz="4" w:space="0"/>
            </w:tcBorders>
            <w:noWrap w:val="0"/>
            <w:vAlign w:val="center"/>
          </w:tcPr>
          <w:p w14:paraId="2FFD599B">
            <w:pPr>
              <w:pageBreakBefore w:val="0"/>
              <w:kinsoku/>
              <w:wordWrap/>
              <w:overflowPunct/>
              <w:topLinePunct w:val="0"/>
              <w:bidi w:val="0"/>
              <w:adjustRightInd w:val="0"/>
              <w:snapToGrid w:val="0"/>
              <w:spacing w:line="360" w:lineRule="auto"/>
              <w:textAlignment w:val="auto"/>
              <w:rPr>
                <w:rFonts w:hint="eastAsia" w:ascii="宋体" w:hAnsi="宋体" w:eastAsia="宋体"/>
                <w:color w:val="000000"/>
                <w:sz w:val="24"/>
                <w:highlight w:val="none"/>
              </w:rPr>
            </w:pPr>
          </w:p>
        </w:tc>
        <w:tc>
          <w:tcPr>
            <w:tcW w:w="6162" w:type="dxa"/>
            <w:tcBorders>
              <w:top w:val="single" w:color="auto" w:sz="4" w:space="0"/>
              <w:left w:val="nil"/>
              <w:bottom w:val="single" w:color="auto" w:sz="4" w:space="0"/>
              <w:right w:val="single" w:color="auto" w:sz="4" w:space="0"/>
            </w:tcBorders>
            <w:noWrap w:val="0"/>
            <w:vAlign w:val="center"/>
          </w:tcPr>
          <w:p w14:paraId="7E54FF5E">
            <w:pPr>
              <w:pageBreakBefore w:val="0"/>
              <w:widowControl/>
              <w:tabs>
                <w:tab w:val="left" w:pos="6424"/>
              </w:tabs>
              <w:kinsoku/>
              <w:wordWrap/>
              <w:overflowPunct/>
              <w:topLinePunct w:val="0"/>
              <w:bidi w:val="0"/>
              <w:adjustRightInd w:val="0"/>
              <w:snapToGrid w:val="0"/>
              <w:spacing w:line="360" w:lineRule="auto"/>
              <w:jc w:val="left"/>
              <w:textAlignment w:val="auto"/>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6.门禁管理服务人员</w:t>
            </w:r>
            <w:r>
              <w:rPr>
                <w:rFonts w:hint="eastAsia" w:ascii="宋体" w:hAnsi="宋体" w:eastAsia="宋体" w:cs="宋体"/>
                <w:color w:val="000000"/>
                <w:kern w:val="0"/>
                <w:sz w:val="24"/>
                <w:highlight w:val="none"/>
              </w:rPr>
              <w:t>服务态度</w:t>
            </w:r>
            <w:r>
              <w:rPr>
                <w:rFonts w:hint="eastAsia" w:ascii="宋体" w:hAnsi="宋体" w:eastAsia="宋体" w:cs="宋体"/>
                <w:color w:val="000000"/>
                <w:kern w:val="0"/>
                <w:sz w:val="24"/>
                <w:highlight w:val="none"/>
                <w:lang w:val="en-US" w:eastAsia="zh-CN"/>
              </w:rPr>
              <w:t>良</w:t>
            </w:r>
            <w:r>
              <w:rPr>
                <w:rFonts w:hint="eastAsia" w:ascii="宋体" w:hAnsi="宋体" w:eastAsia="宋体" w:cs="宋体"/>
                <w:color w:val="000000"/>
                <w:kern w:val="0"/>
                <w:sz w:val="24"/>
                <w:highlight w:val="none"/>
              </w:rPr>
              <w:t>好</w:t>
            </w:r>
            <w:r>
              <w:rPr>
                <w:rFonts w:hint="eastAsia" w:ascii="宋体" w:hAnsi="宋体" w:eastAsia="宋体" w:cs="宋体"/>
                <w:color w:val="000000"/>
                <w:kern w:val="0"/>
                <w:sz w:val="24"/>
                <w:highlight w:val="none"/>
                <w:lang w:eastAsia="zh-CN"/>
              </w:rPr>
              <w:t>、</w:t>
            </w:r>
            <w:r>
              <w:rPr>
                <w:rFonts w:hint="eastAsia" w:ascii="宋体" w:hAnsi="宋体" w:eastAsia="宋体" w:cs="宋体"/>
                <w:color w:val="000000"/>
                <w:kern w:val="0"/>
                <w:sz w:val="24"/>
                <w:highlight w:val="none"/>
                <w:lang w:val="en-US" w:eastAsia="zh-CN"/>
              </w:rPr>
              <w:t>着装规范、服从科室管理及要求</w:t>
            </w:r>
          </w:p>
        </w:tc>
        <w:tc>
          <w:tcPr>
            <w:tcW w:w="669" w:type="dxa"/>
            <w:tcBorders>
              <w:top w:val="single" w:color="auto" w:sz="4" w:space="0"/>
              <w:left w:val="nil"/>
              <w:bottom w:val="single" w:color="auto" w:sz="4" w:space="0"/>
              <w:right w:val="single" w:color="auto" w:sz="4" w:space="0"/>
            </w:tcBorders>
            <w:noWrap w:val="0"/>
            <w:vAlign w:val="center"/>
          </w:tcPr>
          <w:p w14:paraId="5309D594">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2</w:t>
            </w:r>
          </w:p>
        </w:tc>
        <w:tc>
          <w:tcPr>
            <w:tcW w:w="802" w:type="dxa"/>
            <w:tcBorders>
              <w:top w:val="single" w:color="auto" w:sz="4" w:space="0"/>
              <w:left w:val="nil"/>
              <w:bottom w:val="single" w:color="auto" w:sz="4" w:space="0"/>
              <w:right w:val="single" w:color="auto" w:sz="4" w:space="0"/>
            </w:tcBorders>
            <w:noWrap w:val="0"/>
            <w:vAlign w:val="center"/>
          </w:tcPr>
          <w:p w14:paraId="24054B77">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r>
      <w:tr w14:paraId="05066C13">
        <w:tblPrEx>
          <w:tblCellMar>
            <w:top w:w="0" w:type="dxa"/>
            <w:left w:w="108" w:type="dxa"/>
            <w:bottom w:w="0" w:type="dxa"/>
            <w:right w:w="108" w:type="dxa"/>
          </w:tblCellMar>
        </w:tblPrEx>
        <w:trPr>
          <w:gridAfter w:val="1"/>
          <w:wAfter w:w="11" w:type="dxa"/>
          <w:trHeight w:val="373" w:hRule="atLeast"/>
          <w:jc w:val="center"/>
        </w:trPr>
        <w:tc>
          <w:tcPr>
            <w:tcW w:w="1196" w:type="dxa"/>
            <w:vMerge w:val="restart"/>
            <w:tcBorders>
              <w:top w:val="single" w:color="auto" w:sz="4" w:space="0"/>
              <w:left w:val="single" w:color="auto" w:sz="4" w:space="0"/>
              <w:bottom w:val="single" w:color="000000" w:sz="4" w:space="0"/>
              <w:right w:val="single" w:color="auto" w:sz="4" w:space="0"/>
            </w:tcBorders>
            <w:noWrap w:val="0"/>
            <w:vAlign w:val="center"/>
          </w:tcPr>
          <w:p w14:paraId="4F3F6C1F">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管理人员</w:t>
            </w:r>
          </w:p>
          <w:p w14:paraId="14C0C6B5">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（6分）</w:t>
            </w:r>
          </w:p>
        </w:tc>
        <w:tc>
          <w:tcPr>
            <w:tcW w:w="6162" w:type="dxa"/>
            <w:tcBorders>
              <w:top w:val="nil"/>
              <w:left w:val="nil"/>
              <w:bottom w:val="single" w:color="auto" w:sz="4" w:space="0"/>
              <w:right w:val="single" w:color="auto" w:sz="4" w:space="0"/>
            </w:tcBorders>
            <w:noWrap w:val="0"/>
            <w:vAlign w:val="center"/>
          </w:tcPr>
          <w:p w14:paraId="2C04A61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1.认真完成院方交付的其他工作任务</w:t>
            </w:r>
          </w:p>
        </w:tc>
        <w:tc>
          <w:tcPr>
            <w:tcW w:w="669" w:type="dxa"/>
            <w:tcBorders>
              <w:top w:val="single" w:color="auto" w:sz="4" w:space="0"/>
              <w:left w:val="nil"/>
              <w:bottom w:val="single" w:color="auto" w:sz="4" w:space="0"/>
              <w:right w:val="single" w:color="auto" w:sz="4" w:space="0"/>
            </w:tcBorders>
            <w:noWrap w:val="0"/>
            <w:vAlign w:val="center"/>
          </w:tcPr>
          <w:p w14:paraId="26F30DE8">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single" w:color="auto" w:sz="4" w:space="0"/>
              <w:left w:val="nil"/>
              <w:bottom w:val="single" w:color="auto" w:sz="4" w:space="0"/>
              <w:right w:val="single" w:color="auto" w:sz="4" w:space="0"/>
            </w:tcBorders>
            <w:noWrap w:val="0"/>
            <w:vAlign w:val="center"/>
          </w:tcPr>
          <w:p w14:paraId="6E84615C">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27FE3B05">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000000" w:sz="4" w:space="0"/>
              <w:right w:val="single" w:color="auto" w:sz="4" w:space="0"/>
            </w:tcBorders>
            <w:noWrap w:val="0"/>
            <w:vAlign w:val="center"/>
          </w:tcPr>
          <w:p w14:paraId="2432AEF2">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74FD4CC1">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2.做好项目人员的管理，确保医院运送工作正常高效有序进行</w:t>
            </w:r>
          </w:p>
        </w:tc>
        <w:tc>
          <w:tcPr>
            <w:tcW w:w="669" w:type="dxa"/>
            <w:tcBorders>
              <w:top w:val="nil"/>
              <w:left w:val="nil"/>
              <w:bottom w:val="single" w:color="auto" w:sz="4" w:space="0"/>
              <w:right w:val="single" w:color="auto" w:sz="4" w:space="0"/>
            </w:tcBorders>
            <w:noWrap w:val="0"/>
            <w:vAlign w:val="center"/>
          </w:tcPr>
          <w:p w14:paraId="7E5684A8">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5F6C496E">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349DCF1D">
        <w:tblPrEx>
          <w:tblCellMar>
            <w:top w:w="0" w:type="dxa"/>
            <w:left w:w="108" w:type="dxa"/>
            <w:bottom w:w="0" w:type="dxa"/>
            <w:right w:w="108" w:type="dxa"/>
          </w:tblCellMar>
        </w:tblPrEx>
        <w:trPr>
          <w:gridAfter w:val="1"/>
          <w:wAfter w:w="11" w:type="dxa"/>
          <w:trHeight w:val="373" w:hRule="atLeast"/>
          <w:jc w:val="center"/>
        </w:trPr>
        <w:tc>
          <w:tcPr>
            <w:tcW w:w="1196" w:type="dxa"/>
            <w:vMerge w:val="continue"/>
            <w:tcBorders>
              <w:top w:val="nil"/>
              <w:left w:val="single" w:color="auto" w:sz="4" w:space="0"/>
              <w:bottom w:val="single" w:color="auto" w:sz="4" w:space="0"/>
              <w:right w:val="single" w:color="auto" w:sz="4" w:space="0"/>
            </w:tcBorders>
            <w:noWrap w:val="0"/>
            <w:vAlign w:val="center"/>
          </w:tcPr>
          <w:p w14:paraId="1EF72F77">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p>
        </w:tc>
        <w:tc>
          <w:tcPr>
            <w:tcW w:w="6162" w:type="dxa"/>
            <w:tcBorders>
              <w:top w:val="nil"/>
              <w:left w:val="nil"/>
              <w:bottom w:val="single" w:color="auto" w:sz="4" w:space="0"/>
              <w:right w:val="single" w:color="auto" w:sz="4" w:space="0"/>
            </w:tcBorders>
            <w:noWrap w:val="0"/>
            <w:vAlign w:val="center"/>
          </w:tcPr>
          <w:p w14:paraId="5729A5D4">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3.项目工作有计划，有执行、有检查、有完善循环路径。</w:t>
            </w:r>
          </w:p>
        </w:tc>
        <w:tc>
          <w:tcPr>
            <w:tcW w:w="669" w:type="dxa"/>
            <w:tcBorders>
              <w:top w:val="nil"/>
              <w:left w:val="nil"/>
              <w:bottom w:val="single" w:color="auto" w:sz="4" w:space="0"/>
              <w:right w:val="single" w:color="auto" w:sz="4" w:space="0"/>
            </w:tcBorders>
            <w:noWrap w:val="0"/>
            <w:vAlign w:val="center"/>
          </w:tcPr>
          <w:p w14:paraId="0A5F2024">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w:t>
            </w:r>
          </w:p>
        </w:tc>
        <w:tc>
          <w:tcPr>
            <w:tcW w:w="802" w:type="dxa"/>
            <w:tcBorders>
              <w:top w:val="nil"/>
              <w:left w:val="nil"/>
              <w:bottom w:val="single" w:color="auto" w:sz="4" w:space="0"/>
              <w:right w:val="single" w:color="auto" w:sz="4" w:space="0"/>
            </w:tcBorders>
            <w:noWrap w:val="0"/>
            <w:vAlign w:val="center"/>
          </w:tcPr>
          <w:p w14:paraId="5738AFA6">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w:t>
            </w:r>
          </w:p>
        </w:tc>
      </w:tr>
      <w:tr w14:paraId="683E1007">
        <w:tblPrEx>
          <w:tblCellMar>
            <w:top w:w="0" w:type="dxa"/>
            <w:left w:w="108" w:type="dxa"/>
            <w:bottom w:w="0" w:type="dxa"/>
            <w:right w:w="108" w:type="dxa"/>
          </w:tblCellMar>
        </w:tblPrEx>
        <w:trPr>
          <w:trHeight w:val="747" w:hRule="atLeast"/>
          <w:jc w:val="center"/>
        </w:trPr>
        <w:tc>
          <w:tcPr>
            <w:tcW w:w="1196" w:type="dxa"/>
            <w:tcBorders>
              <w:top w:val="single" w:color="auto" w:sz="4" w:space="0"/>
              <w:left w:val="single" w:color="auto" w:sz="4" w:space="0"/>
              <w:bottom w:val="single" w:color="000000" w:sz="4" w:space="0"/>
              <w:right w:val="single" w:color="auto" w:sz="4" w:space="0"/>
            </w:tcBorders>
            <w:noWrap w:val="0"/>
            <w:vAlign w:val="center"/>
          </w:tcPr>
          <w:p w14:paraId="6C6E198B">
            <w:pPr>
              <w:pageBreakBefore w:val="0"/>
              <w:widowControl/>
              <w:kinsoku/>
              <w:wordWrap/>
              <w:overflowPunct/>
              <w:topLinePunct w:val="0"/>
              <w:bidi w:val="0"/>
              <w:adjustRightInd w:val="0"/>
              <w:snapToGrid w:val="0"/>
              <w:spacing w:line="360" w:lineRule="auto"/>
              <w:jc w:val="center"/>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备注</w:t>
            </w:r>
          </w:p>
        </w:tc>
        <w:tc>
          <w:tcPr>
            <w:tcW w:w="7644" w:type="dxa"/>
            <w:gridSpan w:val="4"/>
            <w:tcBorders>
              <w:top w:val="single" w:color="auto" w:sz="4" w:space="0"/>
              <w:left w:val="nil"/>
              <w:bottom w:val="single" w:color="auto" w:sz="4" w:space="0"/>
              <w:right w:val="single" w:color="auto" w:sz="4" w:space="0"/>
            </w:tcBorders>
            <w:noWrap w:val="0"/>
            <w:vAlign w:val="center"/>
          </w:tcPr>
          <w:p w14:paraId="4669BB96">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确保后勤运维平台正常运行，因人为因素擅自停止使用</w:t>
            </w:r>
            <w:r>
              <w:rPr>
                <w:rFonts w:hint="eastAsia" w:ascii="宋体" w:hAnsi="宋体" w:cs="宋体"/>
                <w:color w:val="000000"/>
                <w:kern w:val="0"/>
                <w:sz w:val="24"/>
                <w:highlight w:val="none"/>
                <w:lang w:val="en-US" w:eastAsia="zh-CN"/>
              </w:rPr>
              <w:t>或与患者、家属发生冲突</w:t>
            </w:r>
            <w:r>
              <w:rPr>
                <w:rFonts w:hint="eastAsia" w:ascii="宋体" w:hAnsi="宋体" w:eastAsia="宋体" w:cs="宋体"/>
                <w:color w:val="000000"/>
                <w:kern w:val="0"/>
                <w:sz w:val="24"/>
                <w:highlight w:val="none"/>
              </w:rPr>
              <w:t>，造成甲方秩序混乱的，扣发当月服务费20%。</w:t>
            </w:r>
          </w:p>
        </w:tc>
      </w:tr>
    </w:tbl>
    <w:p w14:paraId="7135711D">
      <w:pPr>
        <w:pageBreakBefore w:val="0"/>
        <w:kinsoku/>
        <w:wordWrap/>
        <w:overflowPunct/>
        <w:topLinePunct w:val="0"/>
        <w:bidi w:val="0"/>
        <w:adjustRightInd w:val="0"/>
        <w:snapToGrid w:val="0"/>
        <w:spacing w:line="360" w:lineRule="auto"/>
        <w:textAlignment w:val="auto"/>
        <w:rPr>
          <w:rFonts w:ascii="宋体" w:hAnsi="宋体" w:eastAsia="宋体"/>
          <w:highlight w:val="none"/>
        </w:rPr>
      </w:pPr>
    </w:p>
    <w:p w14:paraId="0CAE2DEE">
      <w:pPr>
        <w:rPr>
          <w:rFonts w:hint="eastAsia" w:ascii="宋体" w:hAnsi="宋体" w:eastAsia="宋体"/>
          <w:b/>
          <w:color w:val="000000"/>
          <w:sz w:val="24"/>
          <w:highlight w:val="none"/>
        </w:rPr>
      </w:pPr>
      <w:r>
        <w:rPr>
          <w:rFonts w:hint="eastAsia" w:ascii="宋体" w:hAnsi="宋体" w:eastAsia="宋体"/>
          <w:b/>
          <w:color w:val="000000"/>
          <w:sz w:val="24"/>
          <w:highlight w:val="none"/>
        </w:rPr>
        <w:br w:type="page"/>
      </w:r>
    </w:p>
    <w:p w14:paraId="5BDA79E7">
      <w:pPr>
        <w:pageBreakBefore w:val="0"/>
        <w:kinsoku/>
        <w:wordWrap/>
        <w:overflowPunct/>
        <w:topLinePunct w:val="0"/>
        <w:bidi w:val="0"/>
        <w:adjustRightInd w:val="0"/>
        <w:snapToGrid w:val="0"/>
        <w:spacing w:after="120" w:afterLines="50" w:line="360" w:lineRule="auto"/>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附件D：西安市第五医院安全协议</w:t>
      </w:r>
    </w:p>
    <w:p w14:paraId="70334E24">
      <w:pPr>
        <w:pageBreakBefore w:val="0"/>
        <w:kinsoku/>
        <w:wordWrap/>
        <w:overflowPunct/>
        <w:topLinePunct w:val="0"/>
        <w:bidi w:val="0"/>
        <w:adjustRightInd w:val="0"/>
        <w:snapToGrid w:val="0"/>
        <w:spacing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甲方：西安市第五医院（以下简称甲方）</w:t>
      </w:r>
    </w:p>
    <w:p w14:paraId="30BC5307">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乙方：  （以下简称乙方）</w:t>
      </w:r>
    </w:p>
    <w:p w14:paraId="27428024">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为了明确甲方和</w:t>
      </w:r>
      <w:r>
        <w:rPr>
          <w:rFonts w:hint="eastAsia" w:ascii="宋体" w:hAnsi="宋体" w:cs="宋体"/>
          <w:color w:val="000000"/>
          <w:sz w:val="24"/>
          <w:szCs w:val="24"/>
          <w:highlight w:val="none"/>
          <w:lang w:eastAsia="zh-CN"/>
        </w:rPr>
        <w:t>乙方</w:t>
      </w:r>
      <w:r>
        <w:rPr>
          <w:rFonts w:hint="eastAsia" w:ascii="宋体" w:hAnsi="宋体" w:eastAsia="宋体" w:cs="宋体"/>
          <w:color w:val="000000"/>
          <w:sz w:val="24"/>
          <w:szCs w:val="24"/>
          <w:highlight w:val="none"/>
        </w:rPr>
        <w:t>之间的安全责任，预防发生各类安全事故，经甲乙双方友好协商，自愿签订本协议。</w:t>
      </w:r>
    </w:p>
    <w:p w14:paraId="1C62FFA3">
      <w:pPr>
        <w:pageBreakBefore w:val="0"/>
        <w:widowControl/>
        <w:numPr>
          <w:ilvl w:val="0"/>
          <w:numId w:val="2"/>
        </w:numPr>
        <w:kinsoku/>
        <w:wordWrap/>
        <w:overflowPunct/>
        <w:topLinePunct w:val="0"/>
        <w:autoSpaceDE w:val="0"/>
        <w:autoSpaceDN w:val="0"/>
        <w:bidi w:val="0"/>
        <w:adjustRightInd w:val="0"/>
        <w:snapToGrid w:val="0"/>
        <w:spacing w:after="0" w:line="360" w:lineRule="auto"/>
        <w:jc w:val="left"/>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服务项目：医院患者服务管理中心</w:t>
      </w:r>
    </w:p>
    <w:p w14:paraId="45ABA4B1">
      <w:pPr>
        <w:pageBreakBefore w:val="0"/>
        <w:numPr>
          <w:ilvl w:val="0"/>
          <w:numId w:val="2"/>
        </w:numPr>
        <w:kinsoku/>
        <w:wordWrap/>
        <w:overflowPunct/>
        <w:topLinePunct w:val="0"/>
        <w:bidi w:val="0"/>
        <w:adjustRightInd w:val="0"/>
        <w:snapToGrid w:val="0"/>
        <w:spacing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协议期限：与患者服务管理中心项目合同同期执行</w:t>
      </w:r>
    </w:p>
    <w:p w14:paraId="4119B8A1">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三、责任</w:t>
      </w:r>
    </w:p>
    <w:p w14:paraId="0E17503E">
      <w:pPr>
        <w:pageBreakBefore w:val="0"/>
        <w:kinsoku/>
        <w:wordWrap/>
        <w:overflowPunct/>
        <w:topLinePunct w:val="0"/>
        <w:bidi w:val="0"/>
        <w:adjustRightInd w:val="0"/>
        <w:snapToGrid w:val="0"/>
        <w:spacing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cs="宋体"/>
          <w:color w:val="000000"/>
          <w:sz w:val="24"/>
          <w:szCs w:val="24"/>
          <w:highlight w:val="none"/>
          <w:lang w:eastAsia="zh-CN"/>
        </w:rPr>
        <w:t>乙方</w:t>
      </w:r>
      <w:r>
        <w:rPr>
          <w:rFonts w:hint="eastAsia" w:ascii="宋体" w:hAnsi="宋体" w:eastAsia="宋体" w:cs="宋体"/>
          <w:color w:val="000000"/>
          <w:sz w:val="24"/>
          <w:szCs w:val="24"/>
          <w:highlight w:val="none"/>
        </w:rPr>
        <w:t>进入甲方工作场地，</w:t>
      </w:r>
      <w:r>
        <w:rPr>
          <w:rFonts w:hint="eastAsia" w:ascii="宋体" w:hAnsi="宋体" w:cs="宋体"/>
          <w:color w:val="000000"/>
          <w:sz w:val="24"/>
          <w:szCs w:val="24"/>
          <w:highlight w:val="none"/>
          <w:lang w:eastAsia="zh-CN"/>
        </w:rPr>
        <w:t>乙方</w:t>
      </w:r>
      <w:r>
        <w:rPr>
          <w:rFonts w:hint="eastAsia" w:ascii="宋体" w:hAnsi="宋体" w:eastAsia="宋体" w:cs="宋体"/>
          <w:color w:val="000000"/>
          <w:sz w:val="24"/>
          <w:szCs w:val="24"/>
          <w:highlight w:val="none"/>
        </w:rPr>
        <w:t>必须贯彻执行国家有关安全生产的方针，政策、法令，法规。遵守国家，行业和甲方有关安全生产，文明生产的规定、制度、岗位职责、必须对运送人员进行安全教育，技能和安全规范教育，未经安全生产教育和培训或考核不合格，不得上岗作业，遵守交通法规，确保交通安全。严禁出现打架斗殴、酗酒、赌博及偷盗等违法乱纪行为。坚守工作岗位，严禁混岗、脱岗、变岗作业，特殊工种作业人员必须持有效操作证上岗。</w:t>
      </w:r>
    </w:p>
    <w:p w14:paraId="7BD361B5">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2、乙方必须按国家有关规定，为运送人员配备合格的劳动防护工具，并保证工具，器具使用安全。</w:t>
      </w:r>
    </w:p>
    <w:p w14:paraId="3491F6DF">
      <w:pPr>
        <w:pageBreakBefore w:val="0"/>
        <w:kinsoku/>
        <w:wordWrap/>
        <w:overflowPunct/>
        <w:topLinePunct w:val="0"/>
        <w:bidi w:val="0"/>
        <w:adjustRightInd w:val="0"/>
        <w:snapToGrid w:val="0"/>
        <w:spacing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cs="宋体"/>
          <w:color w:val="000000"/>
          <w:sz w:val="24"/>
          <w:szCs w:val="24"/>
          <w:highlight w:val="none"/>
          <w:lang w:eastAsia="zh-CN"/>
        </w:rPr>
        <w:t>乙方</w:t>
      </w:r>
      <w:r>
        <w:rPr>
          <w:rFonts w:hint="eastAsia" w:ascii="宋体" w:hAnsi="宋体" w:eastAsia="宋体" w:cs="宋体"/>
          <w:color w:val="000000"/>
          <w:sz w:val="24"/>
          <w:szCs w:val="24"/>
          <w:highlight w:val="none"/>
        </w:rPr>
        <w:t>应做好区域里消防安全，发现安全隐患应立即排除或联系甲方管理人员。</w:t>
      </w:r>
    </w:p>
    <w:p w14:paraId="56092D99">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4、乙方应积极配合甲方工作，无条件完成甲方安排的临时运送工作。</w:t>
      </w:r>
    </w:p>
    <w:p w14:paraId="363BA96B">
      <w:pPr>
        <w:pageBreakBefore w:val="0"/>
        <w:kinsoku/>
        <w:wordWrap/>
        <w:overflowPunct/>
        <w:topLinePunct w:val="0"/>
        <w:bidi w:val="0"/>
        <w:adjustRightInd w:val="0"/>
        <w:snapToGrid w:val="0"/>
        <w:spacing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5、作业过程中若采取的安全保护措施不当，违反有关安全规程而造成的一切事故或对第三方造成损失的，均由</w:t>
      </w:r>
      <w:r>
        <w:rPr>
          <w:rFonts w:hint="eastAsia" w:ascii="宋体" w:hAnsi="宋体" w:cs="宋体"/>
          <w:color w:val="000000"/>
          <w:sz w:val="24"/>
          <w:szCs w:val="24"/>
          <w:highlight w:val="none"/>
          <w:lang w:eastAsia="zh-CN"/>
        </w:rPr>
        <w:t>乙方</w:t>
      </w:r>
      <w:r>
        <w:rPr>
          <w:rFonts w:hint="eastAsia" w:ascii="宋体" w:hAnsi="宋体" w:eastAsia="宋体" w:cs="宋体"/>
          <w:color w:val="000000"/>
          <w:sz w:val="24"/>
          <w:szCs w:val="24"/>
          <w:highlight w:val="none"/>
        </w:rPr>
        <w:t>承担所造成的一切经济损失及法律责任。</w:t>
      </w:r>
    </w:p>
    <w:p w14:paraId="24B418E7">
      <w:pPr>
        <w:pageBreakBefore w:val="0"/>
        <w:widowControl/>
        <w:kinsoku/>
        <w:wordWrap/>
        <w:overflowPunct/>
        <w:topLinePunct w:val="0"/>
        <w:bidi w:val="0"/>
        <w:adjustRightInd w:val="0"/>
        <w:snapToGrid w:val="0"/>
        <w:spacing w:after="120" w:line="360" w:lineRule="auto"/>
        <w:jc w:val="both"/>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6、乙方员工在合同期间内造成第三方人身伤害，死亡等情况，责任由乙方全部承担，与甲方无关，并由乙方自行妥善处理和解决。若第三方造成乙方员工人身伤害、死亡等情况、甲方给予协助处理。由甲方原因造成乙方员工人身伤害、死亡等情况，由甲方承担赔偿责任。</w:t>
      </w:r>
    </w:p>
    <w:p w14:paraId="051601B2">
      <w:pPr>
        <w:pageBreakBefore w:val="0"/>
        <w:kinsoku/>
        <w:wordWrap/>
        <w:overflowPunct/>
        <w:topLinePunct w:val="0"/>
        <w:bidi w:val="0"/>
        <w:adjustRightInd w:val="0"/>
        <w:snapToGrid w:val="0"/>
        <w:spacing w:line="360"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r>
        <w:rPr>
          <w:rFonts w:hint="eastAsia" w:ascii="宋体" w:hAnsi="宋体" w:cs="宋体"/>
          <w:color w:val="000000"/>
          <w:sz w:val="24"/>
          <w:szCs w:val="24"/>
          <w:highlight w:val="none"/>
          <w:lang w:eastAsia="zh-CN"/>
        </w:rPr>
        <w:t>乙方</w:t>
      </w:r>
      <w:r>
        <w:rPr>
          <w:rFonts w:hint="eastAsia" w:ascii="宋体" w:hAnsi="宋体" w:eastAsia="宋体" w:cs="宋体"/>
          <w:color w:val="000000"/>
          <w:sz w:val="24"/>
          <w:szCs w:val="24"/>
          <w:highlight w:val="none"/>
        </w:rPr>
        <w:t>员工发生工伤事故，由</w:t>
      </w:r>
      <w:r>
        <w:rPr>
          <w:rFonts w:hint="eastAsia" w:ascii="宋体" w:hAnsi="宋体" w:cs="宋体"/>
          <w:color w:val="000000"/>
          <w:sz w:val="24"/>
          <w:szCs w:val="24"/>
          <w:highlight w:val="none"/>
          <w:lang w:eastAsia="zh-CN"/>
        </w:rPr>
        <w:t>乙方</w:t>
      </w:r>
      <w:r>
        <w:rPr>
          <w:rFonts w:hint="eastAsia" w:ascii="宋体" w:hAnsi="宋体" w:eastAsia="宋体" w:cs="宋体"/>
          <w:color w:val="000000"/>
          <w:sz w:val="24"/>
          <w:szCs w:val="24"/>
          <w:highlight w:val="none"/>
        </w:rPr>
        <w:t>自行处理并承担责任。</w:t>
      </w:r>
    </w:p>
    <w:p w14:paraId="7F055CD5">
      <w:pPr>
        <w:pageBreakBefore w:val="0"/>
        <w:kinsoku/>
        <w:wordWrap/>
        <w:overflowPunct/>
        <w:topLinePunct w:val="0"/>
        <w:bidi w:val="0"/>
        <w:adjustRightInd w:val="0"/>
        <w:snapToGrid w:val="0"/>
        <w:spacing w:line="360" w:lineRule="auto"/>
        <w:textAlignment w:val="auto"/>
        <w:rPr>
          <w:rFonts w:hint="eastAsia" w:ascii="宋体" w:hAnsi="宋体" w:eastAsia="宋体" w:cs="宋体"/>
          <w:sz w:val="24"/>
          <w:szCs w:val="24"/>
          <w:highlight w:val="none"/>
        </w:rPr>
      </w:pPr>
    </w:p>
    <w:p w14:paraId="24841DE3">
      <w:pPr>
        <w:pageBreakBefore w:val="0"/>
        <w:kinsoku/>
        <w:wordWrap/>
        <w:overflowPunct/>
        <w:topLinePunct w:val="0"/>
        <w:bidi w:val="0"/>
        <w:adjustRightInd w:val="0"/>
        <w:snapToGrid w:val="0"/>
        <w:spacing w:line="360" w:lineRule="auto"/>
        <w:textAlignment w:val="auto"/>
        <w:rPr>
          <w:rFonts w:hint="eastAsia" w:ascii="宋体" w:hAnsi="宋体" w:eastAsia="宋体" w:cs="宋体"/>
          <w:sz w:val="24"/>
          <w:szCs w:val="24"/>
          <w:highlight w:val="none"/>
        </w:rPr>
      </w:pPr>
    </w:p>
    <w:p w14:paraId="12D070AE">
      <w:pPr>
        <w:pageBreakBefore w:val="0"/>
        <w:kinsoku/>
        <w:wordWrap/>
        <w:overflowPunct/>
        <w:topLinePunct w:val="0"/>
        <w:bidi w:val="0"/>
        <w:adjustRightInd w:val="0"/>
        <w:snapToGrid w:val="0"/>
        <w:spacing w:line="360" w:lineRule="auto"/>
        <w:textAlignment w:val="auto"/>
        <w:rPr>
          <w:rFonts w:hint="eastAsia" w:ascii="宋体" w:hAnsi="宋体" w:eastAsia="宋体" w:cs="宋体"/>
          <w:sz w:val="24"/>
          <w:szCs w:val="24"/>
          <w:highlight w:val="none"/>
        </w:rPr>
      </w:pPr>
    </w:p>
    <w:p w14:paraId="1B3EBD97">
      <w:pPr>
        <w:pageBreakBefore w:val="0"/>
        <w:kinsoku/>
        <w:wordWrap/>
        <w:overflowPunct/>
        <w:topLinePunct w:val="0"/>
        <w:bidi w:val="0"/>
        <w:adjustRightInd w:val="0"/>
        <w:snapToGrid w:val="0"/>
        <w:spacing w:after="120" w:afterLines="50" w:line="360" w:lineRule="auto"/>
        <w:jc w:val="left"/>
        <w:textAlignment w:val="auto"/>
        <w:rPr>
          <w:rFonts w:hint="eastAsia" w:ascii="宋体" w:hAnsi="宋体" w:eastAsia="宋体" w:cs="宋体"/>
          <w:b/>
          <w:color w:val="000000"/>
          <w:sz w:val="24"/>
          <w:szCs w:val="24"/>
          <w:highlight w:val="none"/>
          <w:lang w:val="en-US" w:eastAsia="zh-CN"/>
        </w:rPr>
      </w:pPr>
      <w:r>
        <w:rPr>
          <w:rFonts w:hint="eastAsia" w:ascii="宋体" w:hAnsi="宋体" w:eastAsia="宋体" w:cs="宋体"/>
          <w:b/>
          <w:color w:val="000000"/>
          <w:sz w:val="24"/>
          <w:szCs w:val="24"/>
          <w:highlight w:val="none"/>
          <w:lang w:val="en-US" w:eastAsia="zh-CN"/>
        </w:rPr>
        <w:t>附件E：西安市第五医院系统平台</w:t>
      </w:r>
      <w:r>
        <w:rPr>
          <w:rFonts w:hint="eastAsia" w:ascii="宋体" w:hAnsi="宋体" w:cs="宋体"/>
          <w:b/>
          <w:color w:val="000000"/>
          <w:sz w:val="24"/>
          <w:szCs w:val="24"/>
          <w:highlight w:val="none"/>
          <w:lang w:val="en-US" w:eastAsia="zh-CN"/>
        </w:rPr>
        <w:t>现有</w:t>
      </w:r>
      <w:r>
        <w:rPr>
          <w:rFonts w:hint="eastAsia" w:ascii="宋体" w:hAnsi="宋体" w:eastAsia="宋体" w:cs="宋体"/>
          <w:b/>
          <w:color w:val="000000"/>
          <w:sz w:val="24"/>
          <w:szCs w:val="24"/>
          <w:highlight w:val="none"/>
          <w:lang w:val="en-US" w:eastAsia="zh-CN"/>
        </w:rPr>
        <w:t>配备物资清单</w:t>
      </w:r>
    </w:p>
    <w:tbl>
      <w:tblPr>
        <w:tblStyle w:val="27"/>
        <w:tblW w:w="915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3"/>
        <w:gridCol w:w="1486"/>
        <w:gridCol w:w="2380"/>
        <w:gridCol w:w="559"/>
        <w:gridCol w:w="736"/>
        <w:gridCol w:w="2200"/>
        <w:gridCol w:w="1144"/>
      </w:tblGrid>
      <w:tr w14:paraId="1580B8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jc w:val="center"/>
        </w:trPr>
        <w:tc>
          <w:tcPr>
            <w:tcW w:w="653" w:type="dxa"/>
            <w:shd w:val="clear" w:color="auto" w:fill="D9D9D9"/>
            <w:noWrap w:val="0"/>
            <w:vAlign w:val="center"/>
          </w:tcPr>
          <w:p w14:paraId="314707A1">
            <w:pPr>
              <w:pageBreakBefore w:val="0"/>
              <w:widowControl w:val="0"/>
              <w:kinsoku/>
              <w:wordWrap/>
              <w:overflowPunct/>
              <w:topLinePunct w:val="0"/>
              <w:bidi w:val="0"/>
              <w:adjustRightInd w:val="0"/>
              <w:snapToGrid w:val="0"/>
              <w:spacing w:before="195" w:line="360" w:lineRule="auto"/>
              <w:ind w:left="142"/>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b/>
                <w:bCs/>
                <w:color w:val="auto"/>
                <w:spacing w:val="-5"/>
                <w:kern w:val="2"/>
                <w:sz w:val="24"/>
                <w:szCs w:val="24"/>
                <w:highlight w:val="none"/>
                <w:lang w:val="en-US" w:eastAsia="en-US" w:bidi="ar-SA"/>
              </w:rPr>
              <w:t>序号</w:t>
            </w:r>
          </w:p>
        </w:tc>
        <w:tc>
          <w:tcPr>
            <w:tcW w:w="1486" w:type="dxa"/>
            <w:shd w:val="clear" w:color="auto" w:fill="D9D9D9"/>
            <w:noWrap w:val="0"/>
            <w:vAlign w:val="center"/>
          </w:tcPr>
          <w:p w14:paraId="5513F7DE">
            <w:pPr>
              <w:pageBreakBefore w:val="0"/>
              <w:widowControl w:val="0"/>
              <w:kinsoku/>
              <w:wordWrap/>
              <w:overflowPunct/>
              <w:topLinePunct w:val="0"/>
              <w:bidi w:val="0"/>
              <w:adjustRightInd w:val="0"/>
              <w:snapToGrid w:val="0"/>
              <w:spacing w:before="195" w:line="360" w:lineRule="auto"/>
              <w:ind w:left="134" w:firstLine="231" w:firstLineChars="100"/>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b/>
                <w:bCs/>
                <w:color w:val="auto"/>
                <w:spacing w:val="-5"/>
                <w:kern w:val="2"/>
                <w:sz w:val="24"/>
                <w:szCs w:val="24"/>
                <w:highlight w:val="none"/>
                <w:lang w:val="en-US" w:eastAsia="en-US" w:bidi="ar-SA"/>
              </w:rPr>
              <w:t>设备名称</w:t>
            </w:r>
          </w:p>
        </w:tc>
        <w:tc>
          <w:tcPr>
            <w:tcW w:w="2380" w:type="dxa"/>
            <w:shd w:val="clear" w:color="auto" w:fill="D9D9D9"/>
            <w:noWrap w:val="0"/>
            <w:vAlign w:val="center"/>
          </w:tcPr>
          <w:p w14:paraId="022AD0B5">
            <w:pPr>
              <w:pageBreakBefore w:val="0"/>
              <w:widowControl w:val="0"/>
              <w:kinsoku/>
              <w:wordWrap/>
              <w:overflowPunct/>
              <w:topLinePunct w:val="0"/>
              <w:bidi w:val="0"/>
              <w:adjustRightInd w:val="0"/>
              <w:snapToGrid w:val="0"/>
              <w:spacing w:before="195" w:line="360" w:lineRule="auto"/>
              <w:ind w:firstLine="693" w:firstLineChars="300"/>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b/>
                <w:bCs/>
                <w:color w:val="auto"/>
                <w:spacing w:val="-5"/>
                <w:kern w:val="2"/>
                <w:sz w:val="24"/>
                <w:szCs w:val="24"/>
                <w:highlight w:val="none"/>
                <w:lang w:val="en-US" w:eastAsia="en-US" w:bidi="ar-SA"/>
              </w:rPr>
              <w:t>功能描述</w:t>
            </w:r>
          </w:p>
        </w:tc>
        <w:tc>
          <w:tcPr>
            <w:tcW w:w="559" w:type="dxa"/>
            <w:tcBorders>
              <w:right w:val="single" w:color="auto" w:sz="4" w:space="0"/>
            </w:tcBorders>
            <w:shd w:val="clear" w:color="auto" w:fill="D9D9D9"/>
            <w:noWrap w:val="0"/>
            <w:vAlign w:val="center"/>
          </w:tcPr>
          <w:p w14:paraId="06BF42AF">
            <w:pPr>
              <w:pageBreakBefore w:val="0"/>
              <w:widowControl w:val="0"/>
              <w:kinsoku/>
              <w:wordWrap/>
              <w:overflowPunct/>
              <w:topLinePunct w:val="0"/>
              <w:bidi w:val="0"/>
              <w:adjustRightInd w:val="0"/>
              <w:snapToGrid w:val="0"/>
              <w:spacing w:before="196" w:line="360" w:lineRule="auto"/>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b/>
                <w:bCs/>
                <w:color w:val="auto"/>
                <w:spacing w:val="-5"/>
                <w:kern w:val="2"/>
                <w:sz w:val="24"/>
                <w:szCs w:val="24"/>
                <w:highlight w:val="none"/>
                <w:lang w:val="en-US" w:eastAsia="en-US" w:bidi="ar-SA"/>
              </w:rPr>
              <w:t>单位</w:t>
            </w:r>
          </w:p>
        </w:tc>
        <w:tc>
          <w:tcPr>
            <w:tcW w:w="736" w:type="dxa"/>
            <w:tcBorders>
              <w:left w:val="single" w:color="auto" w:sz="4" w:space="0"/>
              <w:right w:val="single" w:color="auto" w:sz="4" w:space="0"/>
            </w:tcBorders>
            <w:shd w:val="clear" w:color="auto" w:fill="D9D9D9"/>
            <w:noWrap w:val="0"/>
            <w:vAlign w:val="center"/>
          </w:tcPr>
          <w:p w14:paraId="2740A875">
            <w:pPr>
              <w:pageBreakBefore w:val="0"/>
              <w:widowControl w:val="0"/>
              <w:kinsoku/>
              <w:wordWrap/>
              <w:overflowPunct/>
              <w:topLinePunct w:val="0"/>
              <w:bidi w:val="0"/>
              <w:adjustRightInd w:val="0"/>
              <w:snapToGrid w:val="0"/>
              <w:spacing w:before="195" w:line="360" w:lineRule="auto"/>
              <w:ind w:left="166"/>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b/>
                <w:bCs/>
                <w:color w:val="auto"/>
                <w:spacing w:val="-5"/>
                <w:kern w:val="2"/>
                <w:sz w:val="24"/>
                <w:szCs w:val="24"/>
                <w:highlight w:val="none"/>
                <w:lang w:val="en-US" w:eastAsia="en-US" w:bidi="ar-SA"/>
              </w:rPr>
              <w:t>数量</w:t>
            </w:r>
          </w:p>
        </w:tc>
        <w:tc>
          <w:tcPr>
            <w:tcW w:w="2200" w:type="dxa"/>
            <w:tcBorders>
              <w:left w:val="single" w:color="auto" w:sz="4" w:space="0"/>
              <w:right w:val="single" w:color="auto" w:sz="4" w:space="0"/>
            </w:tcBorders>
            <w:shd w:val="clear" w:color="auto" w:fill="D9D9D9"/>
            <w:noWrap w:val="0"/>
            <w:vAlign w:val="center"/>
          </w:tcPr>
          <w:p w14:paraId="12AA5174">
            <w:pPr>
              <w:pageBreakBefore w:val="0"/>
              <w:widowControl w:val="0"/>
              <w:kinsoku/>
              <w:wordWrap/>
              <w:overflowPunct/>
              <w:topLinePunct w:val="0"/>
              <w:bidi w:val="0"/>
              <w:adjustRightInd w:val="0"/>
              <w:snapToGrid w:val="0"/>
              <w:spacing w:before="195" w:line="360" w:lineRule="auto"/>
              <w:ind w:firstLine="693" w:firstLineChars="300"/>
              <w:jc w:val="both"/>
              <w:textAlignment w:val="auto"/>
              <w:rPr>
                <w:rFonts w:hint="eastAsia" w:ascii="宋体" w:hAnsi="宋体" w:eastAsia="宋体" w:cs="宋体"/>
                <w:b/>
                <w:bCs/>
                <w:color w:val="auto"/>
                <w:spacing w:val="-5"/>
                <w:kern w:val="2"/>
                <w:sz w:val="24"/>
                <w:szCs w:val="24"/>
                <w:highlight w:val="none"/>
                <w:lang w:val="en-US" w:eastAsia="zh-CN" w:bidi="ar-SA"/>
              </w:rPr>
            </w:pPr>
            <w:r>
              <w:rPr>
                <w:rFonts w:hint="eastAsia" w:ascii="宋体" w:hAnsi="宋体" w:eastAsia="宋体" w:cs="宋体"/>
                <w:b/>
                <w:bCs/>
                <w:color w:val="auto"/>
                <w:spacing w:val="-5"/>
                <w:kern w:val="2"/>
                <w:sz w:val="24"/>
                <w:szCs w:val="24"/>
                <w:highlight w:val="none"/>
                <w:lang w:val="en-US" w:eastAsia="zh-CN" w:bidi="ar-SA"/>
              </w:rPr>
              <w:t>参数要求</w:t>
            </w:r>
          </w:p>
        </w:tc>
        <w:tc>
          <w:tcPr>
            <w:tcW w:w="1144" w:type="dxa"/>
            <w:tcBorders>
              <w:left w:val="single" w:color="auto" w:sz="4" w:space="0"/>
            </w:tcBorders>
            <w:shd w:val="clear" w:color="auto" w:fill="D9D9D9"/>
            <w:noWrap w:val="0"/>
            <w:vAlign w:val="center"/>
          </w:tcPr>
          <w:p w14:paraId="3169C340">
            <w:pPr>
              <w:pageBreakBefore w:val="0"/>
              <w:widowControl w:val="0"/>
              <w:kinsoku/>
              <w:wordWrap/>
              <w:overflowPunct/>
              <w:topLinePunct w:val="0"/>
              <w:bidi w:val="0"/>
              <w:adjustRightInd w:val="0"/>
              <w:snapToGrid w:val="0"/>
              <w:spacing w:before="195" w:line="360" w:lineRule="auto"/>
              <w:ind w:firstLine="231" w:firstLineChars="100"/>
              <w:jc w:val="center"/>
              <w:textAlignment w:val="auto"/>
              <w:rPr>
                <w:rFonts w:hint="eastAsia" w:ascii="宋体" w:hAnsi="宋体" w:eastAsia="宋体" w:cs="宋体"/>
                <w:b/>
                <w:bCs/>
                <w:color w:val="auto"/>
                <w:spacing w:val="-5"/>
                <w:kern w:val="2"/>
                <w:sz w:val="24"/>
                <w:szCs w:val="24"/>
                <w:highlight w:val="none"/>
                <w:lang w:val="en-US" w:eastAsia="zh-CN" w:bidi="ar-SA"/>
              </w:rPr>
            </w:pPr>
            <w:r>
              <w:rPr>
                <w:rFonts w:hint="eastAsia" w:ascii="宋体" w:hAnsi="宋体" w:eastAsia="宋体" w:cs="宋体"/>
                <w:b/>
                <w:bCs/>
                <w:color w:val="auto"/>
                <w:spacing w:val="-5"/>
                <w:kern w:val="2"/>
                <w:sz w:val="24"/>
                <w:szCs w:val="24"/>
                <w:highlight w:val="none"/>
                <w:lang w:val="en-US" w:eastAsia="zh-CN" w:bidi="ar-SA"/>
              </w:rPr>
              <w:t>品牌</w:t>
            </w:r>
          </w:p>
        </w:tc>
      </w:tr>
      <w:tr w14:paraId="095E7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jc w:val="center"/>
        </w:trPr>
        <w:tc>
          <w:tcPr>
            <w:tcW w:w="653" w:type="dxa"/>
            <w:noWrap w:val="0"/>
            <w:vAlign w:val="center"/>
          </w:tcPr>
          <w:p w14:paraId="568BEC6A">
            <w:pPr>
              <w:pageBreakBefore w:val="0"/>
              <w:widowControl w:val="0"/>
              <w:kinsoku/>
              <w:wordWrap/>
              <w:overflowPunct/>
              <w:topLinePunct w:val="0"/>
              <w:bidi w:val="0"/>
              <w:adjustRightInd w:val="0"/>
              <w:snapToGrid w:val="0"/>
              <w:spacing w:before="79" w:line="360" w:lineRule="auto"/>
              <w:ind w:left="344"/>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1</w:t>
            </w:r>
          </w:p>
        </w:tc>
        <w:tc>
          <w:tcPr>
            <w:tcW w:w="1486" w:type="dxa"/>
            <w:noWrap w:val="0"/>
            <w:vAlign w:val="center"/>
          </w:tcPr>
          <w:p w14:paraId="7BDFABD1">
            <w:pPr>
              <w:pageBreakBefore w:val="0"/>
              <w:widowControl w:val="0"/>
              <w:kinsoku/>
              <w:wordWrap/>
              <w:overflowPunct/>
              <w:topLinePunct w:val="0"/>
              <w:bidi w:val="0"/>
              <w:adjustRightInd w:val="0"/>
              <w:snapToGrid w:val="0"/>
              <w:spacing w:before="40" w:line="360" w:lineRule="auto"/>
              <w:ind w:left="151"/>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6"/>
                <w:kern w:val="2"/>
                <w:sz w:val="24"/>
                <w:szCs w:val="24"/>
                <w:highlight w:val="none"/>
                <w:lang w:val="en-US" w:eastAsia="en-US" w:bidi="ar-SA"/>
              </w:rPr>
              <w:t>台式电脑</w:t>
            </w:r>
          </w:p>
        </w:tc>
        <w:tc>
          <w:tcPr>
            <w:tcW w:w="2380" w:type="dxa"/>
            <w:noWrap w:val="0"/>
            <w:vAlign w:val="center"/>
          </w:tcPr>
          <w:p w14:paraId="57B21CB0">
            <w:pPr>
              <w:pageBreakBefore w:val="0"/>
              <w:widowControl w:val="0"/>
              <w:kinsoku/>
              <w:wordWrap/>
              <w:overflowPunct/>
              <w:topLinePunct w:val="0"/>
              <w:bidi w:val="0"/>
              <w:adjustRightInd w:val="0"/>
              <w:snapToGrid w:val="0"/>
              <w:spacing w:before="40"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2"/>
                <w:kern w:val="2"/>
                <w:sz w:val="24"/>
                <w:szCs w:val="24"/>
                <w:highlight w:val="none"/>
                <w:lang w:val="en-US" w:eastAsia="en-US" w:bidi="ar-SA"/>
              </w:rPr>
              <w:t>调度监控派单</w:t>
            </w:r>
          </w:p>
        </w:tc>
        <w:tc>
          <w:tcPr>
            <w:tcW w:w="559" w:type="dxa"/>
            <w:tcBorders>
              <w:right w:val="single" w:color="auto" w:sz="4" w:space="0"/>
            </w:tcBorders>
            <w:noWrap w:val="0"/>
            <w:vAlign w:val="center"/>
          </w:tcPr>
          <w:p w14:paraId="6EF1430D">
            <w:pPr>
              <w:pageBreakBefore w:val="0"/>
              <w:widowControl w:val="0"/>
              <w:kinsoku/>
              <w:wordWrap/>
              <w:overflowPunct/>
              <w:topLinePunct w:val="0"/>
              <w:bidi w:val="0"/>
              <w:adjustRightInd w:val="0"/>
              <w:snapToGrid w:val="0"/>
              <w:spacing w:before="51"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台</w:t>
            </w:r>
          </w:p>
        </w:tc>
        <w:tc>
          <w:tcPr>
            <w:tcW w:w="736" w:type="dxa"/>
            <w:tcBorders>
              <w:left w:val="single" w:color="auto" w:sz="4" w:space="0"/>
              <w:right w:val="single" w:color="auto" w:sz="4" w:space="0"/>
            </w:tcBorders>
            <w:noWrap w:val="0"/>
            <w:vAlign w:val="center"/>
          </w:tcPr>
          <w:p w14:paraId="5231883B">
            <w:pPr>
              <w:pageBreakBefore w:val="0"/>
              <w:widowControl w:val="0"/>
              <w:kinsoku/>
              <w:wordWrap/>
              <w:overflowPunct/>
              <w:topLinePunct w:val="0"/>
              <w:bidi w:val="0"/>
              <w:adjustRightInd w:val="0"/>
              <w:snapToGrid w:val="0"/>
              <w:spacing w:before="88" w:line="360" w:lineRule="auto"/>
              <w:ind w:left="367"/>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1</w:t>
            </w:r>
          </w:p>
        </w:tc>
        <w:tc>
          <w:tcPr>
            <w:tcW w:w="2200" w:type="dxa"/>
            <w:tcBorders>
              <w:left w:val="single" w:color="auto" w:sz="4" w:space="0"/>
              <w:right w:val="single" w:color="auto" w:sz="4" w:space="0"/>
            </w:tcBorders>
            <w:noWrap w:val="0"/>
            <w:vAlign w:val="center"/>
          </w:tcPr>
          <w:p w14:paraId="0FB86926">
            <w:pPr>
              <w:pageBreakBefore w:val="0"/>
              <w:widowControl w:val="0"/>
              <w:kinsoku/>
              <w:wordWrap/>
              <w:overflowPunct/>
              <w:topLinePunct w:val="0"/>
              <w:bidi w:val="0"/>
              <w:adjustRightInd w:val="0"/>
              <w:snapToGrid w:val="0"/>
              <w:spacing w:before="88" w:line="36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16GB\512\14英寸</w:t>
            </w:r>
          </w:p>
        </w:tc>
        <w:tc>
          <w:tcPr>
            <w:tcW w:w="1144" w:type="dxa"/>
            <w:tcBorders>
              <w:left w:val="single" w:color="auto" w:sz="4" w:space="0"/>
            </w:tcBorders>
            <w:noWrap w:val="0"/>
            <w:vAlign w:val="center"/>
          </w:tcPr>
          <w:p w14:paraId="718892CD">
            <w:pPr>
              <w:pageBreakBefore w:val="0"/>
              <w:widowControl w:val="0"/>
              <w:kinsoku/>
              <w:wordWrap/>
              <w:overflowPunct/>
              <w:topLinePunct w:val="0"/>
              <w:bidi w:val="0"/>
              <w:adjustRightInd w:val="0"/>
              <w:snapToGrid w:val="0"/>
              <w:spacing w:before="88" w:line="360" w:lineRule="auto"/>
              <w:ind w:firstLine="240" w:firstLineChars="100"/>
              <w:jc w:val="center"/>
              <w:textAlignment w:val="auto"/>
              <w:rPr>
                <w:rFonts w:hint="eastAsia" w:ascii="宋体" w:hAnsi="宋体" w:eastAsia="宋体" w:cs="宋体"/>
                <w:color w:val="auto"/>
                <w:kern w:val="2"/>
                <w:sz w:val="24"/>
                <w:szCs w:val="24"/>
                <w:highlight w:val="none"/>
                <w:lang w:val="en-US" w:eastAsia="zh-CN" w:bidi="ar-SA"/>
              </w:rPr>
            </w:pPr>
          </w:p>
        </w:tc>
      </w:tr>
      <w:tr w14:paraId="2805B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653" w:type="dxa"/>
            <w:noWrap w:val="0"/>
            <w:vAlign w:val="center"/>
          </w:tcPr>
          <w:p w14:paraId="757D26AA">
            <w:pPr>
              <w:pageBreakBefore w:val="0"/>
              <w:widowControl w:val="0"/>
              <w:kinsoku/>
              <w:wordWrap/>
              <w:overflowPunct/>
              <w:topLinePunct w:val="0"/>
              <w:bidi w:val="0"/>
              <w:adjustRightInd w:val="0"/>
              <w:snapToGrid w:val="0"/>
              <w:spacing w:before="79" w:line="360" w:lineRule="auto"/>
              <w:ind w:left="329"/>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2</w:t>
            </w:r>
          </w:p>
        </w:tc>
        <w:tc>
          <w:tcPr>
            <w:tcW w:w="1486" w:type="dxa"/>
            <w:noWrap w:val="0"/>
            <w:vAlign w:val="center"/>
          </w:tcPr>
          <w:p w14:paraId="75B5A9C1">
            <w:pPr>
              <w:pageBreakBefore w:val="0"/>
              <w:widowControl w:val="0"/>
              <w:kinsoku/>
              <w:wordWrap/>
              <w:overflowPunct/>
              <w:topLinePunct w:val="0"/>
              <w:bidi w:val="0"/>
              <w:adjustRightInd w:val="0"/>
              <w:snapToGrid w:val="0"/>
              <w:spacing w:before="39" w:line="360" w:lineRule="auto"/>
              <w:ind w:left="161"/>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8"/>
                <w:kern w:val="2"/>
                <w:sz w:val="24"/>
                <w:szCs w:val="24"/>
                <w:highlight w:val="none"/>
                <w:lang w:val="en-US" w:eastAsia="en-US" w:bidi="ar-SA"/>
              </w:rPr>
              <w:t>电视大屏</w:t>
            </w:r>
          </w:p>
        </w:tc>
        <w:tc>
          <w:tcPr>
            <w:tcW w:w="2380" w:type="dxa"/>
            <w:noWrap w:val="0"/>
            <w:vAlign w:val="center"/>
          </w:tcPr>
          <w:p w14:paraId="0387E206">
            <w:pPr>
              <w:pageBreakBefore w:val="0"/>
              <w:widowControl w:val="0"/>
              <w:kinsoku/>
              <w:wordWrap/>
              <w:overflowPunct/>
              <w:topLinePunct w:val="0"/>
              <w:bidi w:val="0"/>
              <w:adjustRightInd w:val="0"/>
              <w:snapToGrid w:val="0"/>
              <w:spacing w:before="39"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2"/>
                <w:kern w:val="2"/>
                <w:sz w:val="24"/>
                <w:szCs w:val="24"/>
                <w:highlight w:val="none"/>
                <w:lang w:val="en-US" w:eastAsia="en-US" w:bidi="ar-SA"/>
              </w:rPr>
              <w:t>系统监控展示大屏</w:t>
            </w:r>
          </w:p>
        </w:tc>
        <w:tc>
          <w:tcPr>
            <w:tcW w:w="559" w:type="dxa"/>
            <w:tcBorders>
              <w:right w:val="single" w:color="auto" w:sz="4" w:space="0"/>
            </w:tcBorders>
            <w:noWrap w:val="0"/>
            <w:vAlign w:val="center"/>
          </w:tcPr>
          <w:p w14:paraId="0AAA82D1">
            <w:pPr>
              <w:pageBreakBefore w:val="0"/>
              <w:widowControl w:val="0"/>
              <w:kinsoku/>
              <w:wordWrap/>
              <w:overflowPunct/>
              <w:topLinePunct w:val="0"/>
              <w:bidi w:val="0"/>
              <w:adjustRightInd w:val="0"/>
              <w:snapToGrid w:val="0"/>
              <w:spacing w:before="50"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台</w:t>
            </w:r>
          </w:p>
        </w:tc>
        <w:tc>
          <w:tcPr>
            <w:tcW w:w="736" w:type="dxa"/>
            <w:tcBorders>
              <w:left w:val="single" w:color="auto" w:sz="4" w:space="0"/>
              <w:right w:val="single" w:color="auto" w:sz="4" w:space="0"/>
            </w:tcBorders>
            <w:noWrap w:val="0"/>
            <w:vAlign w:val="center"/>
          </w:tcPr>
          <w:p w14:paraId="77A1A951">
            <w:pPr>
              <w:pageBreakBefore w:val="0"/>
              <w:widowControl w:val="0"/>
              <w:kinsoku/>
              <w:wordWrap/>
              <w:overflowPunct/>
              <w:topLinePunct w:val="0"/>
              <w:bidi w:val="0"/>
              <w:adjustRightInd w:val="0"/>
              <w:snapToGrid w:val="0"/>
              <w:spacing w:before="87" w:line="360" w:lineRule="auto"/>
              <w:ind w:left="367"/>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1</w:t>
            </w:r>
          </w:p>
        </w:tc>
        <w:tc>
          <w:tcPr>
            <w:tcW w:w="2200" w:type="dxa"/>
            <w:tcBorders>
              <w:left w:val="single" w:color="auto" w:sz="4" w:space="0"/>
              <w:right w:val="single" w:color="auto" w:sz="4" w:space="0"/>
            </w:tcBorders>
            <w:noWrap w:val="0"/>
            <w:vAlign w:val="center"/>
          </w:tcPr>
          <w:p w14:paraId="406329CA">
            <w:pPr>
              <w:pageBreakBefore w:val="0"/>
              <w:widowControl w:val="0"/>
              <w:kinsoku/>
              <w:wordWrap/>
              <w:overflowPunct/>
              <w:topLinePunct w:val="0"/>
              <w:bidi w:val="0"/>
              <w:adjustRightInd w:val="0"/>
              <w:snapToGrid w:val="0"/>
              <w:spacing w:before="87" w:line="36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2＋32GB\A75英寸</w:t>
            </w:r>
          </w:p>
        </w:tc>
        <w:tc>
          <w:tcPr>
            <w:tcW w:w="1144" w:type="dxa"/>
            <w:tcBorders>
              <w:left w:val="single" w:color="auto" w:sz="4" w:space="0"/>
            </w:tcBorders>
            <w:noWrap w:val="0"/>
            <w:vAlign w:val="center"/>
          </w:tcPr>
          <w:p w14:paraId="28940DFC">
            <w:pPr>
              <w:pageBreakBefore w:val="0"/>
              <w:widowControl w:val="0"/>
              <w:kinsoku/>
              <w:wordWrap/>
              <w:overflowPunct/>
              <w:topLinePunct w:val="0"/>
              <w:bidi w:val="0"/>
              <w:adjustRightInd w:val="0"/>
              <w:snapToGrid w:val="0"/>
              <w:spacing w:before="87" w:line="360" w:lineRule="auto"/>
              <w:ind w:firstLine="240" w:firstLineChars="100"/>
              <w:jc w:val="center"/>
              <w:textAlignment w:val="auto"/>
              <w:rPr>
                <w:rFonts w:hint="eastAsia" w:ascii="宋体" w:hAnsi="宋体" w:eastAsia="宋体" w:cs="宋体"/>
                <w:color w:val="auto"/>
                <w:kern w:val="2"/>
                <w:sz w:val="24"/>
                <w:szCs w:val="24"/>
                <w:highlight w:val="none"/>
                <w:lang w:val="en-US" w:eastAsia="zh-CN" w:bidi="ar-SA"/>
              </w:rPr>
            </w:pPr>
          </w:p>
        </w:tc>
      </w:tr>
      <w:tr w14:paraId="2E3D4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653" w:type="dxa"/>
            <w:noWrap w:val="0"/>
            <w:vAlign w:val="center"/>
          </w:tcPr>
          <w:p w14:paraId="18E51288">
            <w:pPr>
              <w:pageBreakBefore w:val="0"/>
              <w:widowControl w:val="0"/>
              <w:kinsoku/>
              <w:wordWrap/>
              <w:overflowPunct/>
              <w:topLinePunct w:val="0"/>
              <w:bidi w:val="0"/>
              <w:adjustRightInd w:val="0"/>
              <w:snapToGrid w:val="0"/>
              <w:spacing w:before="79" w:line="360" w:lineRule="auto"/>
              <w:ind w:left="331"/>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3</w:t>
            </w:r>
          </w:p>
        </w:tc>
        <w:tc>
          <w:tcPr>
            <w:tcW w:w="1486" w:type="dxa"/>
            <w:noWrap w:val="0"/>
            <w:vAlign w:val="center"/>
          </w:tcPr>
          <w:p w14:paraId="1328ED22">
            <w:pPr>
              <w:pageBreakBefore w:val="0"/>
              <w:widowControl w:val="0"/>
              <w:kinsoku/>
              <w:wordWrap/>
              <w:overflowPunct/>
              <w:topLinePunct w:val="0"/>
              <w:bidi w:val="0"/>
              <w:adjustRightInd w:val="0"/>
              <w:snapToGrid w:val="0"/>
              <w:spacing w:before="39" w:line="360" w:lineRule="auto"/>
              <w:ind w:left="134"/>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3"/>
                <w:kern w:val="2"/>
                <w:sz w:val="24"/>
                <w:szCs w:val="24"/>
                <w:highlight w:val="none"/>
                <w:lang w:val="en-US" w:eastAsia="en-US" w:bidi="ar-SA"/>
              </w:rPr>
              <w:t>蓝牙信标</w:t>
            </w:r>
          </w:p>
        </w:tc>
        <w:tc>
          <w:tcPr>
            <w:tcW w:w="2380" w:type="dxa"/>
            <w:noWrap w:val="0"/>
            <w:vAlign w:val="center"/>
          </w:tcPr>
          <w:p w14:paraId="792FA6E3">
            <w:pPr>
              <w:pageBreakBefore w:val="0"/>
              <w:widowControl w:val="0"/>
              <w:kinsoku/>
              <w:wordWrap/>
              <w:overflowPunct/>
              <w:topLinePunct w:val="0"/>
              <w:bidi w:val="0"/>
              <w:adjustRightInd w:val="0"/>
              <w:snapToGrid w:val="0"/>
              <w:spacing w:before="39"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2"/>
                <w:kern w:val="2"/>
                <w:sz w:val="24"/>
                <w:szCs w:val="24"/>
                <w:highlight w:val="none"/>
                <w:lang w:val="en-US" w:eastAsia="en-US" w:bidi="ar-SA"/>
              </w:rPr>
              <w:t>感应式位置身份标识</w:t>
            </w:r>
          </w:p>
        </w:tc>
        <w:tc>
          <w:tcPr>
            <w:tcW w:w="559" w:type="dxa"/>
            <w:tcBorders>
              <w:right w:val="single" w:color="auto" w:sz="4" w:space="0"/>
            </w:tcBorders>
            <w:noWrap w:val="0"/>
            <w:vAlign w:val="center"/>
          </w:tcPr>
          <w:p w14:paraId="6A382190">
            <w:pPr>
              <w:pageBreakBefore w:val="0"/>
              <w:widowControl w:val="0"/>
              <w:kinsoku/>
              <w:wordWrap/>
              <w:overflowPunct/>
              <w:topLinePunct w:val="0"/>
              <w:bidi w:val="0"/>
              <w:adjustRightInd w:val="0"/>
              <w:snapToGrid w:val="0"/>
              <w:spacing w:before="50"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个</w:t>
            </w:r>
          </w:p>
        </w:tc>
        <w:tc>
          <w:tcPr>
            <w:tcW w:w="736" w:type="dxa"/>
            <w:tcBorders>
              <w:left w:val="single" w:color="auto" w:sz="4" w:space="0"/>
              <w:right w:val="single" w:color="auto" w:sz="4" w:space="0"/>
            </w:tcBorders>
            <w:noWrap w:val="0"/>
            <w:vAlign w:val="center"/>
          </w:tcPr>
          <w:p w14:paraId="0E3B3BCC">
            <w:pPr>
              <w:pageBreakBefore w:val="0"/>
              <w:widowControl w:val="0"/>
              <w:kinsoku/>
              <w:wordWrap/>
              <w:overflowPunct/>
              <w:topLinePunct w:val="0"/>
              <w:bidi w:val="0"/>
              <w:adjustRightInd w:val="0"/>
              <w:snapToGrid w:val="0"/>
              <w:spacing w:before="87" w:line="360" w:lineRule="auto"/>
              <w:ind w:left="300"/>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4"/>
                <w:kern w:val="2"/>
                <w:sz w:val="24"/>
                <w:szCs w:val="24"/>
                <w:highlight w:val="none"/>
                <w:lang w:val="en-US" w:eastAsia="en-US" w:bidi="ar-SA"/>
              </w:rPr>
              <w:t>50</w:t>
            </w:r>
          </w:p>
        </w:tc>
        <w:tc>
          <w:tcPr>
            <w:tcW w:w="2200" w:type="dxa"/>
            <w:tcBorders>
              <w:left w:val="single" w:color="auto" w:sz="4" w:space="0"/>
              <w:right w:val="single" w:color="auto" w:sz="4" w:space="0"/>
            </w:tcBorders>
            <w:noWrap w:val="0"/>
            <w:vAlign w:val="center"/>
          </w:tcPr>
          <w:p w14:paraId="00D281D4">
            <w:pPr>
              <w:pageBreakBefore w:val="0"/>
              <w:widowControl w:val="0"/>
              <w:kinsoku/>
              <w:wordWrap/>
              <w:overflowPunct/>
              <w:topLinePunct w:val="0"/>
              <w:bidi w:val="0"/>
              <w:adjustRightInd w:val="0"/>
              <w:snapToGrid w:val="0"/>
              <w:spacing w:before="87"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传输距离150米</w:t>
            </w:r>
          </w:p>
        </w:tc>
        <w:tc>
          <w:tcPr>
            <w:tcW w:w="1144" w:type="dxa"/>
            <w:tcBorders>
              <w:left w:val="single" w:color="auto" w:sz="4" w:space="0"/>
            </w:tcBorders>
            <w:noWrap w:val="0"/>
            <w:vAlign w:val="center"/>
          </w:tcPr>
          <w:p w14:paraId="32F8D7CE">
            <w:pPr>
              <w:pageBreakBefore w:val="0"/>
              <w:widowControl w:val="0"/>
              <w:kinsoku/>
              <w:wordWrap/>
              <w:overflowPunct/>
              <w:topLinePunct w:val="0"/>
              <w:bidi w:val="0"/>
              <w:adjustRightInd w:val="0"/>
              <w:snapToGrid w:val="0"/>
              <w:spacing w:before="87" w:line="360" w:lineRule="auto"/>
              <w:jc w:val="center"/>
              <w:textAlignment w:val="auto"/>
              <w:rPr>
                <w:rFonts w:hint="eastAsia" w:ascii="宋体" w:hAnsi="宋体" w:eastAsia="宋体" w:cs="宋体"/>
                <w:color w:val="auto"/>
                <w:spacing w:val="-4"/>
                <w:kern w:val="2"/>
                <w:sz w:val="24"/>
                <w:szCs w:val="24"/>
                <w:highlight w:val="none"/>
                <w:lang w:val="en-US" w:eastAsia="zh-CN" w:bidi="ar-SA"/>
              </w:rPr>
            </w:pPr>
          </w:p>
        </w:tc>
      </w:tr>
      <w:tr w14:paraId="4E6B13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8" w:hRule="atLeast"/>
          <w:jc w:val="center"/>
        </w:trPr>
        <w:tc>
          <w:tcPr>
            <w:tcW w:w="653" w:type="dxa"/>
            <w:noWrap w:val="0"/>
            <w:vAlign w:val="center"/>
          </w:tcPr>
          <w:p w14:paraId="5AB6B74A">
            <w:pPr>
              <w:pageBreakBefore w:val="0"/>
              <w:widowControl w:val="0"/>
              <w:kinsoku/>
              <w:wordWrap/>
              <w:overflowPunct/>
              <w:topLinePunct w:val="0"/>
              <w:bidi w:val="0"/>
              <w:adjustRightInd w:val="0"/>
              <w:snapToGrid w:val="0"/>
              <w:spacing w:before="236" w:line="360" w:lineRule="auto"/>
              <w:ind w:left="325"/>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4</w:t>
            </w:r>
          </w:p>
        </w:tc>
        <w:tc>
          <w:tcPr>
            <w:tcW w:w="1486" w:type="dxa"/>
            <w:noWrap w:val="0"/>
            <w:vAlign w:val="center"/>
          </w:tcPr>
          <w:p w14:paraId="3D266845">
            <w:pPr>
              <w:pageBreakBefore w:val="0"/>
              <w:widowControl w:val="0"/>
              <w:kinsoku/>
              <w:wordWrap/>
              <w:overflowPunct/>
              <w:topLinePunct w:val="0"/>
              <w:bidi w:val="0"/>
              <w:adjustRightInd w:val="0"/>
              <w:snapToGrid w:val="0"/>
              <w:spacing w:before="195" w:line="36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平板电脑</w:t>
            </w:r>
          </w:p>
        </w:tc>
        <w:tc>
          <w:tcPr>
            <w:tcW w:w="2380" w:type="dxa"/>
            <w:noWrap w:val="0"/>
            <w:vAlign w:val="center"/>
          </w:tcPr>
          <w:p w14:paraId="76829C0C">
            <w:pPr>
              <w:pageBreakBefore w:val="0"/>
              <w:widowControl w:val="0"/>
              <w:kinsoku/>
              <w:wordWrap/>
              <w:overflowPunct/>
              <w:topLinePunct w:val="0"/>
              <w:bidi w:val="0"/>
              <w:adjustRightInd w:val="0"/>
              <w:snapToGrid w:val="0"/>
              <w:spacing w:before="40" w:line="360" w:lineRule="auto"/>
              <w:ind w:right="146"/>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5"/>
                <w:kern w:val="2"/>
                <w:sz w:val="24"/>
                <w:szCs w:val="24"/>
                <w:highlight w:val="none"/>
                <w:lang w:val="en-US" w:eastAsia="en-US" w:bidi="ar-SA"/>
              </w:rPr>
              <w:t>用于运送下单、评价、</w:t>
            </w:r>
            <w:r>
              <w:rPr>
                <w:rFonts w:hint="eastAsia" w:ascii="宋体" w:hAnsi="宋体" w:eastAsia="宋体" w:cs="宋体"/>
                <w:color w:val="auto"/>
                <w:spacing w:val="-3"/>
                <w:kern w:val="2"/>
                <w:sz w:val="24"/>
                <w:szCs w:val="24"/>
                <w:highlight w:val="none"/>
                <w:lang w:val="en-US" w:eastAsia="en-US" w:bidi="ar-SA"/>
              </w:rPr>
              <w:t>查看任务</w:t>
            </w:r>
          </w:p>
        </w:tc>
        <w:tc>
          <w:tcPr>
            <w:tcW w:w="559" w:type="dxa"/>
            <w:tcBorders>
              <w:right w:val="single" w:color="auto" w:sz="4" w:space="0"/>
            </w:tcBorders>
            <w:noWrap w:val="0"/>
            <w:vAlign w:val="center"/>
          </w:tcPr>
          <w:p w14:paraId="33348C4E">
            <w:pPr>
              <w:pageBreakBefore w:val="0"/>
              <w:widowControl w:val="0"/>
              <w:kinsoku/>
              <w:wordWrap/>
              <w:overflowPunct/>
              <w:topLinePunct w:val="0"/>
              <w:bidi w:val="0"/>
              <w:adjustRightInd w:val="0"/>
              <w:snapToGrid w:val="0"/>
              <w:spacing w:before="205"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台</w:t>
            </w:r>
          </w:p>
        </w:tc>
        <w:tc>
          <w:tcPr>
            <w:tcW w:w="736" w:type="dxa"/>
            <w:tcBorders>
              <w:left w:val="single" w:color="auto" w:sz="4" w:space="0"/>
              <w:right w:val="single" w:color="auto" w:sz="4" w:space="0"/>
            </w:tcBorders>
            <w:noWrap w:val="0"/>
            <w:vAlign w:val="center"/>
          </w:tcPr>
          <w:p w14:paraId="493BA688">
            <w:pPr>
              <w:pageBreakBefore w:val="0"/>
              <w:widowControl w:val="0"/>
              <w:kinsoku/>
              <w:wordWrap/>
              <w:overflowPunct/>
              <w:topLinePunct w:val="0"/>
              <w:bidi w:val="0"/>
              <w:adjustRightInd w:val="0"/>
              <w:snapToGrid w:val="0"/>
              <w:spacing w:before="241" w:line="360" w:lineRule="auto"/>
              <w:ind w:left="300"/>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4"/>
                <w:kern w:val="2"/>
                <w:sz w:val="24"/>
                <w:szCs w:val="24"/>
                <w:highlight w:val="none"/>
                <w:lang w:val="en-US" w:eastAsia="en-US" w:bidi="ar-SA"/>
              </w:rPr>
              <w:t>30</w:t>
            </w:r>
          </w:p>
        </w:tc>
        <w:tc>
          <w:tcPr>
            <w:tcW w:w="2200" w:type="dxa"/>
            <w:tcBorders>
              <w:left w:val="single" w:color="auto" w:sz="4" w:space="0"/>
              <w:right w:val="single" w:color="auto" w:sz="4" w:space="0"/>
            </w:tcBorders>
            <w:noWrap w:val="0"/>
            <w:vAlign w:val="center"/>
          </w:tcPr>
          <w:p w14:paraId="32E6F7F0">
            <w:pPr>
              <w:pageBreakBefore w:val="0"/>
              <w:widowControl w:val="0"/>
              <w:kinsoku/>
              <w:wordWrap/>
              <w:overflowPunct/>
              <w:topLinePunct w:val="0"/>
              <w:bidi w:val="0"/>
              <w:adjustRightInd w:val="0"/>
              <w:snapToGrid w:val="0"/>
              <w:spacing w:before="241"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10.1英寸、8核、6＋128GB</w:t>
            </w:r>
          </w:p>
        </w:tc>
        <w:tc>
          <w:tcPr>
            <w:tcW w:w="1144" w:type="dxa"/>
            <w:tcBorders>
              <w:left w:val="single" w:color="auto" w:sz="4" w:space="0"/>
            </w:tcBorders>
            <w:noWrap w:val="0"/>
            <w:vAlign w:val="center"/>
          </w:tcPr>
          <w:p w14:paraId="17EFA1BD">
            <w:pPr>
              <w:pageBreakBefore w:val="0"/>
              <w:widowControl w:val="0"/>
              <w:kinsoku/>
              <w:wordWrap/>
              <w:overflowPunct/>
              <w:topLinePunct w:val="0"/>
              <w:bidi w:val="0"/>
              <w:adjustRightInd w:val="0"/>
              <w:snapToGrid w:val="0"/>
              <w:spacing w:before="241" w:line="360" w:lineRule="auto"/>
              <w:ind w:firstLine="232" w:firstLineChars="100"/>
              <w:jc w:val="center"/>
              <w:textAlignment w:val="auto"/>
              <w:rPr>
                <w:rFonts w:hint="eastAsia" w:ascii="宋体" w:hAnsi="宋体" w:eastAsia="宋体" w:cs="宋体"/>
                <w:color w:val="auto"/>
                <w:spacing w:val="-4"/>
                <w:kern w:val="2"/>
                <w:sz w:val="24"/>
                <w:szCs w:val="24"/>
                <w:highlight w:val="none"/>
                <w:lang w:val="en-US" w:eastAsia="zh-CN" w:bidi="ar-SA"/>
              </w:rPr>
            </w:pPr>
          </w:p>
        </w:tc>
      </w:tr>
      <w:tr w14:paraId="6F4F0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jc w:val="center"/>
        </w:trPr>
        <w:tc>
          <w:tcPr>
            <w:tcW w:w="653" w:type="dxa"/>
            <w:noWrap w:val="0"/>
            <w:vAlign w:val="center"/>
          </w:tcPr>
          <w:p w14:paraId="26CD39AE">
            <w:pPr>
              <w:pageBreakBefore w:val="0"/>
              <w:widowControl w:val="0"/>
              <w:kinsoku/>
              <w:wordWrap/>
              <w:overflowPunct/>
              <w:topLinePunct w:val="0"/>
              <w:bidi w:val="0"/>
              <w:adjustRightInd w:val="0"/>
              <w:snapToGrid w:val="0"/>
              <w:spacing w:before="80" w:line="360" w:lineRule="auto"/>
              <w:ind w:left="331"/>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5</w:t>
            </w:r>
          </w:p>
        </w:tc>
        <w:tc>
          <w:tcPr>
            <w:tcW w:w="1486" w:type="dxa"/>
            <w:noWrap w:val="0"/>
            <w:vAlign w:val="center"/>
          </w:tcPr>
          <w:p w14:paraId="1BF450AF">
            <w:pPr>
              <w:pageBreakBefore w:val="0"/>
              <w:widowControl w:val="0"/>
              <w:kinsoku/>
              <w:wordWrap/>
              <w:overflowPunct/>
              <w:topLinePunct w:val="0"/>
              <w:bidi w:val="0"/>
              <w:adjustRightInd w:val="0"/>
              <w:snapToGrid w:val="0"/>
              <w:spacing w:before="37" w:line="360" w:lineRule="auto"/>
              <w:ind w:left="253"/>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3"/>
                <w:kern w:val="2"/>
                <w:sz w:val="24"/>
                <w:szCs w:val="24"/>
                <w:highlight w:val="none"/>
                <w:lang w:val="en-US" w:eastAsia="en-US" w:bidi="ar-SA"/>
              </w:rPr>
              <w:t>物联卡</w:t>
            </w:r>
          </w:p>
        </w:tc>
        <w:tc>
          <w:tcPr>
            <w:tcW w:w="2380" w:type="dxa"/>
            <w:noWrap w:val="0"/>
            <w:vAlign w:val="center"/>
          </w:tcPr>
          <w:p w14:paraId="184801AD">
            <w:pPr>
              <w:pageBreakBefore w:val="0"/>
              <w:widowControl w:val="0"/>
              <w:kinsoku/>
              <w:wordWrap/>
              <w:overflowPunct/>
              <w:topLinePunct w:val="0"/>
              <w:bidi w:val="0"/>
              <w:adjustRightInd w:val="0"/>
              <w:snapToGrid w:val="0"/>
              <w:spacing w:before="37"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3"/>
                <w:kern w:val="2"/>
                <w:sz w:val="24"/>
                <w:szCs w:val="24"/>
                <w:highlight w:val="none"/>
                <w:lang w:val="en-US" w:eastAsia="en-US" w:bidi="ar-SA"/>
              </w:rPr>
              <w:t>用于</w:t>
            </w:r>
            <w:r>
              <w:rPr>
                <w:rFonts w:hint="eastAsia" w:ascii="宋体" w:hAnsi="宋体" w:eastAsia="宋体" w:cs="宋体"/>
                <w:color w:val="auto"/>
                <w:spacing w:val="-51"/>
                <w:kern w:val="2"/>
                <w:sz w:val="24"/>
                <w:szCs w:val="24"/>
                <w:highlight w:val="none"/>
                <w:lang w:val="en-US" w:eastAsia="en-US" w:bidi="ar-SA"/>
              </w:rPr>
              <w:t xml:space="preserve"> </w:t>
            </w:r>
            <w:r>
              <w:rPr>
                <w:rFonts w:hint="eastAsia" w:ascii="宋体" w:hAnsi="宋体" w:eastAsia="宋体" w:cs="宋体"/>
                <w:color w:val="auto"/>
                <w:spacing w:val="-3"/>
                <w:kern w:val="2"/>
                <w:sz w:val="24"/>
                <w:szCs w:val="24"/>
                <w:highlight w:val="none"/>
                <w:lang w:val="en-US" w:eastAsia="en-US" w:bidi="ar-SA"/>
              </w:rPr>
              <w:t>APP</w:t>
            </w:r>
            <w:r>
              <w:rPr>
                <w:rFonts w:hint="eastAsia" w:ascii="宋体" w:hAnsi="宋体" w:eastAsia="宋体" w:cs="宋体"/>
                <w:color w:val="auto"/>
                <w:spacing w:val="-52"/>
                <w:kern w:val="2"/>
                <w:sz w:val="24"/>
                <w:szCs w:val="24"/>
                <w:highlight w:val="none"/>
                <w:lang w:val="en-US" w:eastAsia="en-US" w:bidi="ar-SA"/>
              </w:rPr>
              <w:t xml:space="preserve"> </w:t>
            </w:r>
            <w:r>
              <w:rPr>
                <w:rFonts w:hint="eastAsia" w:ascii="宋体" w:hAnsi="宋体" w:eastAsia="宋体" w:cs="宋体"/>
                <w:color w:val="auto"/>
                <w:spacing w:val="-3"/>
                <w:kern w:val="2"/>
                <w:sz w:val="24"/>
                <w:szCs w:val="24"/>
                <w:highlight w:val="none"/>
                <w:lang w:val="en-US" w:eastAsia="en-US" w:bidi="ar-SA"/>
              </w:rPr>
              <w:t>传输数据</w:t>
            </w:r>
          </w:p>
        </w:tc>
        <w:tc>
          <w:tcPr>
            <w:tcW w:w="559" w:type="dxa"/>
            <w:tcBorders>
              <w:right w:val="single" w:color="auto" w:sz="4" w:space="0"/>
            </w:tcBorders>
            <w:noWrap w:val="0"/>
            <w:vAlign w:val="center"/>
          </w:tcPr>
          <w:p w14:paraId="366A0369">
            <w:pPr>
              <w:pageBreakBefore w:val="0"/>
              <w:widowControl w:val="0"/>
              <w:kinsoku/>
              <w:wordWrap/>
              <w:overflowPunct/>
              <w:topLinePunct w:val="0"/>
              <w:bidi w:val="0"/>
              <w:adjustRightInd w:val="0"/>
              <w:snapToGrid w:val="0"/>
              <w:spacing w:before="50"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张</w:t>
            </w:r>
          </w:p>
        </w:tc>
        <w:tc>
          <w:tcPr>
            <w:tcW w:w="736" w:type="dxa"/>
            <w:tcBorders>
              <w:left w:val="single" w:color="auto" w:sz="4" w:space="0"/>
              <w:right w:val="single" w:color="auto" w:sz="4" w:space="0"/>
            </w:tcBorders>
            <w:noWrap w:val="0"/>
            <w:vAlign w:val="center"/>
          </w:tcPr>
          <w:p w14:paraId="4A5BB9F7">
            <w:pPr>
              <w:pageBreakBefore w:val="0"/>
              <w:widowControl w:val="0"/>
              <w:kinsoku/>
              <w:wordWrap/>
              <w:overflowPunct/>
              <w:topLinePunct w:val="0"/>
              <w:bidi w:val="0"/>
              <w:adjustRightInd w:val="0"/>
              <w:snapToGrid w:val="0"/>
              <w:spacing w:before="86" w:line="360" w:lineRule="auto"/>
              <w:ind w:left="300"/>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4"/>
                <w:kern w:val="2"/>
                <w:sz w:val="24"/>
                <w:szCs w:val="24"/>
                <w:highlight w:val="none"/>
                <w:lang w:val="en-US" w:eastAsia="en-US" w:bidi="ar-SA"/>
              </w:rPr>
              <w:t>30</w:t>
            </w:r>
          </w:p>
        </w:tc>
        <w:tc>
          <w:tcPr>
            <w:tcW w:w="2200" w:type="dxa"/>
            <w:tcBorders>
              <w:left w:val="single" w:color="auto" w:sz="4" w:space="0"/>
              <w:right w:val="single" w:color="auto" w:sz="4" w:space="0"/>
            </w:tcBorders>
            <w:noWrap w:val="0"/>
            <w:vAlign w:val="center"/>
          </w:tcPr>
          <w:p w14:paraId="76EDE403">
            <w:pPr>
              <w:pageBreakBefore w:val="0"/>
              <w:widowControl w:val="0"/>
              <w:kinsoku/>
              <w:wordWrap/>
              <w:overflowPunct/>
              <w:topLinePunct w:val="0"/>
              <w:bidi w:val="0"/>
              <w:adjustRightInd w:val="0"/>
              <w:snapToGrid w:val="0"/>
              <w:spacing w:before="86" w:line="360" w:lineRule="auto"/>
              <w:ind w:left="300"/>
              <w:jc w:val="center"/>
              <w:textAlignment w:val="auto"/>
              <w:rPr>
                <w:rFonts w:hint="eastAsia" w:ascii="宋体" w:hAnsi="宋体" w:eastAsia="宋体" w:cs="宋体"/>
                <w:color w:val="auto"/>
                <w:spacing w:val="-4"/>
                <w:kern w:val="2"/>
                <w:sz w:val="24"/>
                <w:szCs w:val="24"/>
                <w:highlight w:val="none"/>
                <w:lang w:val="en-US" w:eastAsia="en-US" w:bidi="ar-SA"/>
              </w:rPr>
            </w:pPr>
            <w:r>
              <w:rPr>
                <w:rFonts w:hint="eastAsia" w:ascii="宋体" w:hAnsi="宋体" w:eastAsia="宋体" w:cs="宋体"/>
                <w:color w:val="auto"/>
                <w:spacing w:val="-4"/>
                <w:kern w:val="2"/>
                <w:sz w:val="24"/>
                <w:szCs w:val="24"/>
                <w:highlight w:val="none"/>
                <w:lang w:val="en-US" w:eastAsia="zh-CN" w:bidi="ar-SA"/>
              </w:rPr>
              <w:t>/</w:t>
            </w:r>
          </w:p>
        </w:tc>
        <w:tc>
          <w:tcPr>
            <w:tcW w:w="1144" w:type="dxa"/>
            <w:tcBorders>
              <w:left w:val="single" w:color="auto" w:sz="4" w:space="0"/>
            </w:tcBorders>
            <w:noWrap w:val="0"/>
            <w:vAlign w:val="center"/>
          </w:tcPr>
          <w:p w14:paraId="579372B5">
            <w:pPr>
              <w:pageBreakBefore w:val="0"/>
              <w:widowControl w:val="0"/>
              <w:kinsoku/>
              <w:wordWrap/>
              <w:overflowPunct/>
              <w:topLinePunct w:val="0"/>
              <w:bidi w:val="0"/>
              <w:adjustRightInd w:val="0"/>
              <w:snapToGrid w:val="0"/>
              <w:spacing w:before="86"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p>
        </w:tc>
      </w:tr>
      <w:tr w14:paraId="0B30E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653" w:type="dxa"/>
            <w:noWrap w:val="0"/>
            <w:vAlign w:val="center"/>
          </w:tcPr>
          <w:p w14:paraId="305AE87B">
            <w:pPr>
              <w:pageBreakBefore w:val="0"/>
              <w:widowControl w:val="0"/>
              <w:kinsoku/>
              <w:wordWrap/>
              <w:overflowPunct/>
              <w:topLinePunct w:val="0"/>
              <w:bidi w:val="0"/>
              <w:adjustRightInd w:val="0"/>
              <w:snapToGrid w:val="0"/>
              <w:spacing w:before="81" w:line="360" w:lineRule="auto"/>
              <w:ind w:left="328"/>
              <w:jc w:val="both"/>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6</w:t>
            </w:r>
          </w:p>
        </w:tc>
        <w:tc>
          <w:tcPr>
            <w:tcW w:w="1486" w:type="dxa"/>
            <w:noWrap w:val="0"/>
            <w:vAlign w:val="center"/>
          </w:tcPr>
          <w:p w14:paraId="1B802857">
            <w:pPr>
              <w:pageBreakBefore w:val="0"/>
              <w:widowControl w:val="0"/>
              <w:kinsoku/>
              <w:wordWrap/>
              <w:overflowPunct/>
              <w:topLinePunct w:val="0"/>
              <w:bidi w:val="0"/>
              <w:adjustRightInd w:val="0"/>
              <w:snapToGrid w:val="0"/>
              <w:spacing w:before="40" w:line="360" w:lineRule="auto"/>
              <w:ind w:left="132"/>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2"/>
                <w:kern w:val="2"/>
                <w:sz w:val="24"/>
                <w:szCs w:val="24"/>
                <w:highlight w:val="none"/>
                <w:lang w:val="en-US" w:eastAsia="en-US" w:bidi="ar-SA"/>
              </w:rPr>
              <w:t>平板支架</w:t>
            </w:r>
          </w:p>
        </w:tc>
        <w:tc>
          <w:tcPr>
            <w:tcW w:w="2380" w:type="dxa"/>
            <w:noWrap w:val="0"/>
            <w:vAlign w:val="center"/>
          </w:tcPr>
          <w:p w14:paraId="7838A0F0">
            <w:pPr>
              <w:pageBreakBefore w:val="0"/>
              <w:widowControl w:val="0"/>
              <w:kinsoku/>
              <w:wordWrap/>
              <w:overflowPunct/>
              <w:topLinePunct w:val="0"/>
              <w:bidi w:val="0"/>
              <w:adjustRightInd w:val="0"/>
              <w:snapToGrid w:val="0"/>
              <w:spacing w:before="40"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2"/>
                <w:kern w:val="2"/>
                <w:sz w:val="24"/>
                <w:szCs w:val="24"/>
                <w:highlight w:val="none"/>
                <w:lang w:val="en-US" w:eastAsia="en-US" w:bidi="ar-SA"/>
              </w:rPr>
              <w:t>用于固定平板</w:t>
            </w:r>
          </w:p>
        </w:tc>
        <w:tc>
          <w:tcPr>
            <w:tcW w:w="559" w:type="dxa"/>
            <w:tcBorders>
              <w:right w:val="single" w:color="auto" w:sz="4" w:space="0"/>
            </w:tcBorders>
            <w:noWrap w:val="0"/>
            <w:vAlign w:val="center"/>
          </w:tcPr>
          <w:p w14:paraId="172D2707">
            <w:pPr>
              <w:pageBreakBefore w:val="0"/>
              <w:widowControl w:val="0"/>
              <w:kinsoku/>
              <w:wordWrap/>
              <w:overflowPunct/>
              <w:topLinePunct w:val="0"/>
              <w:bidi w:val="0"/>
              <w:adjustRightInd w:val="0"/>
              <w:snapToGrid w:val="0"/>
              <w:spacing w:before="52" w:line="360" w:lineRule="auto"/>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kern w:val="2"/>
                <w:sz w:val="24"/>
                <w:szCs w:val="24"/>
                <w:highlight w:val="none"/>
                <w:lang w:val="en-US" w:eastAsia="en-US" w:bidi="ar-SA"/>
              </w:rPr>
              <w:t>个</w:t>
            </w:r>
          </w:p>
        </w:tc>
        <w:tc>
          <w:tcPr>
            <w:tcW w:w="736" w:type="dxa"/>
            <w:tcBorders>
              <w:left w:val="single" w:color="auto" w:sz="4" w:space="0"/>
              <w:right w:val="single" w:color="auto" w:sz="4" w:space="0"/>
            </w:tcBorders>
            <w:noWrap w:val="0"/>
            <w:vAlign w:val="center"/>
          </w:tcPr>
          <w:p w14:paraId="5CA75127">
            <w:pPr>
              <w:pageBreakBefore w:val="0"/>
              <w:widowControl w:val="0"/>
              <w:kinsoku/>
              <w:wordWrap/>
              <w:overflowPunct/>
              <w:topLinePunct w:val="0"/>
              <w:bidi w:val="0"/>
              <w:adjustRightInd w:val="0"/>
              <w:snapToGrid w:val="0"/>
              <w:spacing w:before="89" w:line="360" w:lineRule="auto"/>
              <w:ind w:left="300"/>
              <w:jc w:val="center"/>
              <w:textAlignment w:val="auto"/>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pacing w:val="-4"/>
                <w:kern w:val="2"/>
                <w:sz w:val="24"/>
                <w:szCs w:val="24"/>
                <w:highlight w:val="none"/>
                <w:lang w:val="en-US" w:eastAsia="en-US" w:bidi="ar-SA"/>
              </w:rPr>
              <w:t>30</w:t>
            </w:r>
          </w:p>
        </w:tc>
        <w:tc>
          <w:tcPr>
            <w:tcW w:w="2200" w:type="dxa"/>
            <w:tcBorders>
              <w:left w:val="single" w:color="auto" w:sz="4" w:space="0"/>
              <w:right w:val="single" w:color="auto" w:sz="4" w:space="0"/>
            </w:tcBorders>
            <w:noWrap w:val="0"/>
            <w:vAlign w:val="center"/>
          </w:tcPr>
          <w:p w14:paraId="7E4EEE98">
            <w:pPr>
              <w:pageBreakBefore w:val="0"/>
              <w:widowControl w:val="0"/>
              <w:kinsoku/>
              <w:wordWrap/>
              <w:overflowPunct/>
              <w:topLinePunct w:val="0"/>
              <w:bidi w:val="0"/>
              <w:adjustRightInd w:val="0"/>
              <w:snapToGrid w:val="0"/>
              <w:spacing w:before="89"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适配平板电脑</w:t>
            </w:r>
          </w:p>
        </w:tc>
        <w:tc>
          <w:tcPr>
            <w:tcW w:w="1144" w:type="dxa"/>
            <w:tcBorders>
              <w:left w:val="single" w:color="auto" w:sz="4" w:space="0"/>
            </w:tcBorders>
            <w:noWrap w:val="0"/>
            <w:vAlign w:val="center"/>
          </w:tcPr>
          <w:p w14:paraId="7BA42E33">
            <w:pPr>
              <w:pageBreakBefore w:val="0"/>
              <w:widowControl w:val="0"/>
              <w:kinsoku/>
              <w:wordWrap/>
              <w:overflowPunct/>
              <w:topLinePunct w:val="0"/>
              <w:bidi w:val="0"/>
              <w:adjustRightInd w:val="0"/>
              <w:snapToGrid w:val="0"/>
              <w:spacing w:before="89" w:line="360" w:lineRule="auto"/>
              <w:jc w:val="center"/>
              <w:textAlignment w:val="auto"/>
              <w:rPr>
                <w:rFonts w:hint="eastAsia" w:ascii="宋体" w:hAnsi="宋体" w:eastAsia="宋体" w:cs="宋体"/>
                <w:color w:val="auto"/>
                <w:spacing w:val="-4"/>
                <w:kern w:val="2"/>
                <w:sz w:val="24"/>
                <w:szCs w:val="24"/>
                <w:highlight w:val="none"/>
                <w:lang w:val="en-US" w:eastAsia="zh-CN" w:bidi="ar-SA"/>
              </w:rPr>
            </w:pPr>
          </w:p>
        </w:tc>
      </w:tr>
      <w:tr w14:paraId="75963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jc w:val="center"/>
        </w:trPr>
        <w:tc>
          <w:tcPr>
            <w:tcW w:w="653" w:type="dxa"/>
            <w:noWrap w:val="0"/>
            <w:vAlign w:val="center"/>
          </w:tcPr>
          <w:p w14:paraId="448F1A05">
            <w:pPr>
              <w:pageBreakBefore w:val="0"/>
              <w:widowControl w:val="0"/>
              <w:kinsoku/>
              <w:wordWrap/>
              <w:overflowPunct/>
              <w:topLinePunct w:val="0"/>
              <w:bidi w:val="0"/>
              <w:adjustRightInd w:val="0"/>
              <w:snapToGrid w:val="0"/>
              <w:spacing w:before="81" w:line="360" w:lineRule="auto"/>
              <w:ind w:left="328"/>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w:t>
            </w:r>
          </w:p>
        </w:tc>
        <w:tc>
          <w:tcPr>
            <w:tcW w:w="1486" w:type="dxa"/>
            <w:noWrap w:val="0"/>
            <w:vAlign w:val="center"/>
          </w:tcPr>
          <w:p w14:paraId="21E911A6">
            <w:pPr>
              <w:pageBreakBefore w:val="0"/>
              <w:widowControl w:val="0"/>
              <w:kinsoku/>
              <w:wordWrap/>
              <w:overflowPunct/>
              <w:topLinePunct w:val="0"/>
              <w:bidi w:val="0"/>
              <w:adjustRightInd w:val="0"/>
              <w:snapToGrid w:val="0"/>
              <w:spacing w:before="40" w:line="360" w:lineRule="auto"/>
              <w:ind w:left="132"/>
              <w:jc w:val="center"/>
              <w:textAlignment w:val="auto"/>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打印一体机</w:t>
            </w:r>
          </w:p>
        </w:tc>
        <w:tc>
          <w:tcPr>
            <w:tcW w:w="2380" w:type="dxa"/>
            <w:noWrap w:val="0"/>
            <w:vAlign w:val="center"/>
          </w:tcPr>
          <w:p w14:paraId="4C5F47A2">
            <w:pPr>
              <w:pageBreakBefore w:val="0"/>
              <w:widowControl w:val="0"/>
              <w:kinsoku/>
              <w:wordWrap/>
              <w:overflowPunct/>
              <w:topLinePunct w:val="0"/>
              <w:bidi w:val="0"/>
              <w:adjustRightInd w:val="0"/>
              <w:snapToGrid w:val="0"/>
              <w:spacing w:before="40" w:line="360" w:lineRule="auto"/>
              <w:jc w:val="center"/>
              <w:textAlignment w:val="auto"/>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用于调度中心资料打印</w:t>
            </w:r>
          </w:p>
        </w:tc>
        <w:tc>
          <w:tcPr>
            <w:tcW w:w="559" w:type="dxa"/>
            <w:tcBorders>
              <w:right w:val="single" w:color="auto" w:sz="4" w:space="0"/>
            </w:tcBorders>
            <w:noWrap w:val="0"/>
            <w:vAlign w:val="center"/>
          </w:tcPr>
          <w:p w14:paraId="4265DF85">
            <w:pPr>
              <w:pageBreakBefore w:val="0"/>
              <w:widowControl w:val="0"/>
              <w:kinsoku/>
              <w:wordWrap/>
              <w:overflowPunct/>
              <w:topLinePunct w:val="0"/>
              <w:bidi w:val="0"/>
              <w:adjustRightInd w:val="0"/>
              <w:snapToGrid w:val="0"/>
              <w:spacing w:before="52" w:line="36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台</w:t>
            </w:r>
          </w:p>
        </w:tc>
        <w:tc>
          <w:tcPr>
            <w:tcW w:w="736" w:type="dxa"/>
            <w:tcBorders>
              <w:left w:val="single" w:color="auto" w:sz="4" w:space="0"/>
              <w:right w:val="single" w:color="auto" w:sz="4" w:space="0"/>
            </w:tcBorders>
            <w:noWrap w:val="0"/>
            <w:vAlign w:val="center"/>
          </w:tcPr>
          <w:p w14:paraId="221A3D84">
            <w:pPr>
              <w:pageBreakBefore w:val="0"/>
              <w:widowControl w:val="0"/>
              <w:kinsoku/>
              <w:wordWrap/>
              <w:overflowPunct/>
              <w:topLinePunct w:val="0"/>
              <w:bidi w:val="0"/>
              <w:adjustRightInd w:val="0"/>
              <w:snapToGrid w:val="0"/>
              <w:spacing w:before="89"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1</w:t>
            </w:r>
          </w:p>
        </w:tc>
        <w:tc>
          <w:tcPr>
            <w:tcW w:w="2200" w:type="dxa"/>
            <w:tcBorders>
              <w:left w:val="single" w:color="auto" w:sz="4" w:space="0"/>
              <w:right w:val="single" w:color="auto" w:sz="4" w:space="0"/>
            </w:tcBorders>
            <w:noWrap w:val="0"/>
            <w:vAlign w:val="center"/>
          </w:tcPr>
          <w:p w14:paraId="6B373B9D">
            <w:pPr>
              <w:pageBreakBefore w:val="0"/>
              <w:widowControl w:val="0"/>
              <w:kinsoku/>
              <w:wordWrap/>
              <w:overflowPunct/>
              <w:topLinePunct w:val="0"/>
              <w:bidi w:val="0"/>
              <w:adjustRightInd w:val="0"/>
              <w:snapToGrid w:val="0"/>
              <w:spacing w:before="89"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打印分辨率≧1200X1200</w:t>
            </w:r>
          </w:p>
        </w:tc>
        <w:tc>
          <w:tcPr>
            <w:tcW w:w="1144" w:type="dxa"/>
            <w:tcBorders>
              <w:left w:val="single" w:color="auto" w:sz="4" w:space="0"/>
            </w:tcBorders>
            <w:noWrap w:val="0"/>
            <w:vAlign w:val="center"/>
          </w:tcPr>
          <w:p w14:paraId="57FCE314">
            <w:pPr>
              <w:pageBreakBefore w:val="0"/>
              <w:widowControl w:val="0"/>
              <w:kinsoku/>
              <w:wordWrap/>
              <w:overflowPunct/>
              <w:topLinePunct w:val="0"/>
              <w:bidi w:val="0"/>
              <w:adjustRightInd w:val="0"/>
              <w:snapToGrid w:val="0"/>
              <w:spacing w:before="89" w:line="360" w:lineRule="auto"/>
              <w:ind w:firstLine="232" w:firstLineChars="100"/>
              <w:jc w:val="center"/>
              <w:textAlignment w:val="auto"/>
              <w:rPr>
                <w:rFonts w:hint="eastAsia" w:ascii="宋体" w:hAnsi="宋体" w:eastAsia="宋体" w:cs="宋体"/>
                <w:color w:val="auto"/>
                <w:spacing w:val="-4"/>
                <w:kern w:val="2"/>
                <w:sz w:val="24"/>
                <w:szCs w:val="24"/>
                <w:highlight w:val="none"/>
                <w:lang w:val="en-US" w:eastAsia="zh-CN" w:bidi="ar-SA"/>
              </w:rPr>
            </w:pPr>
          </w:p>
        </w:tc>
      </w:tr>
      <w:tr w14:paraId="7CABD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653" w:type="dxa"/>
            <w:noWrap w:val="0"/>
            <w:vAlign w:val="center"/>
          </w:tcPr>
          <w:p w14:paraId="11DEEB57">
            <w:pPr>
              <w:pageBreakBefore w:val="0"/>
              <w:widowControl w:val="0"/>
              <w:kinsoku/>
              <w:wordWrap/>
              <w:overflowPunct/>
              <w:topLinePunct w:val="0"/>
              <w:bidi w:val="0"/>
              <w:adjustRightInd w:val="0"/>
              <w:snapToGrid w:val="0"/>
              <w:spacing w:before="81" w:line="360" w:lineRule="auto"/>
              <w:ind w:left="328"/>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w:t>
            </w:r>
          </w:p>
        </w:tc>
        <w:tc>
          <w:tcPr>
            <w:tcW w:w="1486" w:type="dxa"/>
            <w:noWrap w:val="0"/>
            <w:vAlign w:val="center"/>
          </w:tcPr>
          <w:p w14:paraId="6E112DAD">
            <w:pPr>
              <w:pageBreakBefore w:val="0"/>
              <w:widowControl w:val="0"/>
              <w:kinsoku/>
              <w:wordWrap/>
              <w:overflowPunct/>
              <w:topLinePunct w:val="0"/>
              <w:bidi w:val="0"/>
              <w:adjustRightInd w:val="0"/>
              <w:snapToGrid w:val="0"/>
              <w:spacing w:before="40" w:line="360" w:lineRule="auto"/>
              <w:ind w:left="132"/>
              <w:jc w:val="center"/>
              <w:textAlignment w:val="auto"/>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系统平台</w:t>
            </w:r>
          </w:p>
        </w:tc>
        <w:tc>
          <w:tcPr>
            <w:tcW w:w="2380" w:type="dxa"/>
            <w:noWrap w:val="0"/>
            <w:vAlign w:val="center"/>
          </w:tcPr>
          <w:p w14:paraId="2B80B741">
            <w:pPr>
              <w:pageBreakBefore w:val="0"/>
              <w:widowControl w:val="0"/>
              <w:kinsoku/>
              <w:wordWrap/>
              <w:overflowPunct/>
              <w:topLinePunct w:val="0"/>
              <w:bidi w:val="0"/>
              <w:adjustRightInd w:val="0"/>
              <w:snapToGrid w:val="0"/>
              <w:spacing w:before="40" w:line="360" w:lineRule="auto"/>
              <w:jc w:val="center"/>
              <w:textAlignment w:val="auto"/>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患者管理服务信息化综合服务</w:t>
            </w:r>
          </w:p>
        </w:tc>
        <w:tc>
          <w:tcPr>
            <w:tcW w:w="559" w:type="dxa"/>
            <w:tcBorders>
              <w:right w:val="single" w:color="auto" w:sz="4" w:space="0"/>
            </w:tcBorders>
            <w:noWrap w:val="0"/>
            <w:vAlign w:val="center"/>
          </w:tcPr>
          <w:p w14:paraId="3E2EF774">
            <w:pPr>
              <w:pageBreakBefore w:val="0"/>
              <w:widowControl w:val="0"/>
              <w:kinsoku/>
              <w:wordWrap/>
              <w:overflowPunct/>
              <w:topLinePunct w:val="0"/>
              <w:bidi w:val="0"/>
              <w:adjustRightInd w:val="0"/>
              <w:snapToGrid w:val="0"/>
              <w:spacing w:before="52" w:line="360" w:lineRule="auto"/>
              <w:jc w:val="center"/>
              <w:textAlignment w:val="auto"/>
              <w:rPr>
                <w:rFonts w:hint="eastAsia" w:ascii="宋体" w:hAnsi="宋体" w:eastAsia="宋体" w:cs="宋体"/>
                <w:color w:val="auto"/>
                <w:kern w:val="2"/>
                <w:sz w:val="24"/>
                <w:szCs w:val="24"/>
                <w:highlight w:val="none"/>
                <w:lang w:val="en-US" w:eastAsia="zh-CN" w:bidi="ar-SA"/>
              </w:rPr>
            </w:pPr>
          </w:p>
        </w:tc>
        <w:tc>
          <w:tcPr>
            <w:tcW w:w="736" w:type="dxa"/>
            <w:tcBorders>
              <w:left w:val="single" w:color="auto" w:sz="4" w:space="0"/>
              <w:right w:val="single" w:color="auto" w:sz="4" w:space="0"/>
            </w:tcBorders>
            <w:noWrap w:val="0"/>
            <w:vAlign w:val="center"/>
          </w:tcPr>
          <w:p w14:paraId="6852B8D5">
            <w:pPr>
              <w:pageBreakBefore w:val="0"/>
              <w:widowControl w:val="0"/>
              <w:kinsoku/>
              <w:wordWrap/>
              <w:overflowPunct/>
              <w:topLinePunct w:val="0"/>
              <w:bidi w:val="0"/>
              <w:adjustRightInd w:val="0"/>
              <w:snapToGrid w:val="0"/>
              <w:spacing w:before="89"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1</w:t>
            </w:r>
          </w:p>
        </w:tc>
        <w:tc>
          <w:tcPr>
            <w:tcW w:w="2200" w:type="dxa"/>
            <w:tcBorders>
              <w:left w:val="single" w:color="auto" w:sz="4" w:space="0"/>
              <w:right w:val="single" w:color="auto" w:sz="4" w:space="0"/>
            </w:tcBorders>
            <w:noWrap w:val="0"/>
            <w:vAlign w:val="center"/>
          </w:tcPr>
          <w:p w14:paraId="3C9B79B7">
            <w:pPr>
              <w:pageBreakBefore w:val="0"/>
              <w:widowControl w:val="0"/>
              <w:kinsoku/>
              <w:wordWrap/>
              <w:overflowPunct/>
              <w:topLinePunct w:val="0"/>
              <w:bidi w:val="0"/>
              <w:adjustRightInd w:val="0"/>
              <w:snapToGrid w:val="0"/>
              <w:spacing w:before="89" w:line="360" w:lineRule="auto"/>
              <w:ind w:left="300"/>
              <w:jc w:val="center"/>
              <w:textAlignment w:val="auto"/>
              <w:rPr>
                <w:rFonts w:hint="eastAsia" w:ascii="宋体" w:hAnsi="宋体" w:eastAsia="宋体" w:cs="宋体"/>
                <w:color w:val="auto"/>
                <w:spacing w:val="-4"/>
                <w:kern w:val="2"/>
                <w:sz w:val="24"/>
                <w:szCs w:val="24"/>
                <w:highlight w:val="none"/>
                <w:lang w:val="en-US" w:eastAsia="zh-CN" w:bidi="ar-SA"/>
              </w:rPr>
            </w:pPr>
            <w:r>
              <w:rPr>
                <w:rFonts w:hint="eastAsia" w:ascii="宋体" w:hAnsi="宋体" w:eastAsia="宋体" w:cs="宋体"/>
                <w:color w:val="auto"/>
                <w:spacing w:val="-4"/>
                <w:kern w:val="2"/>
                <w:sz w:val="24"/>
                <w:szCs w:val="24"/>
                <w:highlight w:val="none"/>
                <w:lang w:val="en-US" w:eastAsia="zh-CN" w:bidi="ar-SA"/>
              </w:rPr>
              <w:t>详见合同第9条</w:t>
            </w:r>
          </w:p>
        </w:tc>
        <w:tc>
          <w:tcPr>
            <w:tcW w:w="1144" w:type="dxa"/>
            <w:tcBorders>
              <w:left w:val="single" w:color="auto" w:sz="4" w:space="0"/>
            </w:tcBorders>
            <w:noWrap w:val="0"/>
            <w:vAlign w:val="center"/>
          </w:tcPr>
          <w:p w14:paraId="7F8F2AB4">
            <w:pPr>
              <w:pageBreakBefore w:val="0"/>
              <w:widowControl w:val="0"/>
              <w:kinsoku/>
              <w:wordWrap/>
              <w:overflowPunct/>
              <w:topLinePunct w:val="0"/>
              <w:bidi w:val="0"/>
              <w:adjustRightInd w:val="0"/>
              <w:snapToGrid w:val="0"/>
              <w:spacing w:before="89" w:line="360" w:lineRule="auto"/>
              <w:jc w:val="center"/>
              <w:textAlignment w:val="auto"/>
              <w:rPr>
                <w:rFonts w:hint="eastAsia" w:ascii="宋体" w:hAnsi="宋体" w:eastAsia="宋体" w:cs="宋体"/>
                <w:color w:val="auto"/>
                <w:spacing w:val="-4"/>
                <w:kern w:val="2"/>
                <w:sz w:val="24"/>
                <w:szCs w:val="24"/>
                <w:highlight w:val="none"/>
                <w:lang w:val="en-US" w:eastAsia="zh-CN" w:bidi="ar-SA"/>
              </w:rPr>
            </w:pPr>
          </w:p>
        </w:tc>
      </w:tr>
    </w:tbl>
    <w:p w14:paraId="3038C2EA">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Calibri" w:hAnsi="Calibri" w:eastAsia="宋体" w:cs="Times New Roman"/>
          <w:highlight w:val="none"/>
          <w:lang w:val="en-US" w:eastAsia="zh-CN"/>
        </w:rPr>
      </w:pPr>
    </w:p>
    <w:p w14:paraId="58071D79"/>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527BE">
    <w:pPr>
      <w:framePr w:wrap="around" w:vAnchor="text" w:hAnchor="margin" w:xAlign="right" w:y="1"/>
      <w:widowControl w:val="0"/>
      <w:tabs>
        <w:tab w:val="center" w:pos="4153"/>
        <w:tab w:val="right" w:pos="8306"/>
      </w:tabs>
      <w:jc w:val="both"/>
      <w:rPr>
        <w:rFonts w:ascii="Calibri" w:hAnsi="Calibri" w:eastAsia="宋体" w:cs="Times New Roman"/>
        <w:kern w:val="2"/>
        <w:sz w:val="18"/>
        <w:szCs w:val="22"/>
        <w:lang w:val="en-US" w:eastAsia="zh-CN" w:bidi="ar-SA"/>
      </w:rPr>
    </w:pPr>
    <w:r>
      <w:rPr>
        <w:rFonts w:ascii="Calibri" w:hAnsi="Calibri" w:eastAsia="宋体" w:cs="Times New Roman"/>
        <w:kern w:val="2"/>
        <w:sz w:val="18"/>
        <w:szCs w:val="22"/>
        <w:lang w:val="en-US" w:eastAsia="zh-CN" w:bidi="ar-SA"/>
      </w:rPr>
      <w:fldChar w:fldCharType="begin"/>
    </w:r>
    <w:r>
      <w:rPr>
        <w:rFonts w:ascii="Calibri" w:hAnsi="Calibri" w:eastAsia="宋体" w:cs="Times New Roman"/>
        <w:kern w:val="2"/>
        <w:sz w:val="21"/>
        <w:szCs w:val="22"/>
        <w:lang w:val="en-US" w:eastAsia="zh-CN" w:bidi="ar-SA"/>
      </w:rPr>
      <w:instrText xml:space="preserve">PAGE  </w:instrText>
    </w:r>
    <w:r>
      <w:rPr>
        <w:rFonts w:ascii="Calibri" w:hAnsi="Calibri" w:eastAsia="宋体" w:cs="Times New Roman"/>
        <w:kern w:val="2"/>
        <w:sz w:val="18"/>
        <w:szCs w:val="22"/>
        <w:lang w:val="en-US" w:eastAsia="zh-CN" w:bidi="ar-SA"/>
      </w:rPr>
      <w:fldChar w:fldCharType="separate"/>
    </w:r>
    <w:r>
      <w:rPr>
        <w:rFonts w:ascii="Calibri" w:hAnsi="Calibri" w:eastAsia="宋体" w:cs="Times New Roman"/>
        <w:kern w:val="2"/>
        <w:sz w:val="21"/>
        <w:szCs w:val="22"/>
        <w:lang w:val="en-US" w:eastAsia="zh-CN" w:bidi="ar-SA"/>
      </w:rPr>
      <w:t>14</w:t>
    </w:r>
    <w:r>
      <w:rPr>
        <w:rFonts w:ascii="Calibri" w:hAnsi="Calibri" w:eastAsia="宋体" w:cs="Times New Roman"/>
        <w:kern w:val="2"/>
        <w:sz w:val="18"/>
        <w:szCs w:val="22"/>
        <w:lang w:val="en-US" w:eastAsia="zh-CN" w:bidi="ar-SA"/>
      </w:rPr>
      <w:fldChar w:fldCharType="end"/>
    </w:r>
  </w:p>
  <w:p w14:paraId="48B80334">
    <w:pPr>
      <w:widowControl w:val="0"/>
      <w:tabs>
        <w:tab w:val="center" w:pos="4153"/>
        <w:tab w:val="right" w:pos="8306"/>
      </w:tabs>
      <w:ind w:right="360"/>
      <w:jc w:val="both"/>
      <w:rPr>
        <w:rFonts w:ascii="Calibri" w:hAnsi="Calibri" w:eastAsia="宋体" w:cs="Times New Roman"/>
        <w:kern w:val="2"/>
        <w:sz w:val="18"/>
        <w:szCs w:val="22"/>
        <w:lang w:val="en-US" w:eastAsia="zh-CN" w:bidi="ar-SA"/>
      </w:rPr>
    </w:pPr>
  </w:p>
  <w:p w14:paraId="585E46C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FEFE4">
    <w:pPr>
      <w:pStyle w:val="5"/>
      <w:rPr>
        <w:rStyle w:val="11"/>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41C695">
                          <w:pPr>
                            <w:pStyle w:val="5"/>
                          </w:pPr>
                          <w:r>
                            <w:fldChar w:fldCharType="begin"/>
                          </w:r>
                          <w:r>
                            <w:instrText xml:space="preserve"> PAGE  \* MERGEFORMAT </w:instrText>
                          </w:r>
                          <w:r>
                            <w:fldChar w:fldCharType="separate"/>
                          </w:r>
                          <w:r>
                            <w:t>75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6141C695">
                    <w:pPr>
                      <w:pStyle w:val="5"/>
                    </w:pPr>
                    <w:r>
                      <w:fldChar w:fldCharType="begin"/>
                    </w:r>
                    <w:r>
                      <w:instrText xml:space="preserve"> PAGE  \* MERGEFORMAT </w:instrText>
                    </w:r>
                    <w:r>
                      <w:fldChar w:fldCharType="separate"/>
                    </w:r>
                    <w:r>
                      <w:t>75</w:t>
                    </w:r>
                    <w:r>
                      <w:fldChar w:fldCharType="end"/>
                    </w:r>
                  </w:p>
                </w:txbxContent>
              </v:textbox>
            </v:shape>
          </w:pict>
        </mc:Fallback>
      </mc:AlternateContent>
    </w:r>
  </w:p>
  <w:p w14:paraId="69FD6C2E">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BF1D1">
    <w:pPr>
      <w:widowControl w:val="0"/>
      <w:pBdr>
        <w:top w:val="none" w:color="auto" w:sz="0" w:space="1"/>
        <w:left w:val="none" w:color="auto" w:sz="0" w:space="4"/>
        <w:bottom w:val="none" w:color="auto" w:sz="0" w:space="1"/>
        <w:right w:val="none" w:color="auto" w:sz="0" w:space="4"/>
      </w:pBdr>
      <w:tabs>
        <w:tab w:val="center" w:pos="4153"/>
        <w:tab w:val="right" w:pos="8306"/>
      </w:tabs>
      <w:jc w:val="both"/>
      <w:rPr>
        <w:rFonts w:ascii="Calibri" w:hAnsi="Calibri" w:eastAsia="宋体" w:cs="Times New Roman"/>
        <w:kern w:val="2"/>
        <w:sz w:val="18"/>
        <w:szCs w:val="22"/>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EBCDF">
    <w:pPr>
      <w:widowControl w:val="0"/>
      <w:pBdr>
        <w:top w:val="none" w:color="auto" w:sz="0" w:space="1"/>
        <w:left w:val="none" w:color="auto" w:sz="0" w:space="4"/>
        <w:bottom w:val="none" w:color="auto" w:sz="0" w:space="1"/>
        <w:right w:val="none" w:color="auto" w:sz="0" w:space="4"/>
      </w:pBdr>
      <w:tabs>
        <w:tab w:val="center" w:pos="4153"/>
        <w:tab w:val="right" w:pos="8306"/>
      </w:tabs>
      <w:jc w:val="both"/>
      <w:rPr>
        <w:rFonts w:ascii="Calibri" w:hAnsi="Calibri" w:eastAsia="宋体" w:cs="Times New Roman"/>
        <w:kern w:val="2"/>
        <w:sz w:val="18"/>
        <w:szCs w:val="22"/>
        <w:lang w:val="en-US" w:eastAsia="zh-CN" w:bidi="ar-SA"/>
      </w:rPr>
    </w:pPr>
    <w:r>
      <w:rPr>
        <w:rFonts w:hint="eastAsia" w:ascii="Calibri" w:hAnsi="Calibri" w:eastAsia="宋体" w:cs="Times New Roman"/>
        <w:kern w:val="2"/>
        <w:sz w:val="21"/>
        <w:szCs w:val="21"/>
        <w:lang w:val="en-US" w:eastAsia="zh-CN" w:bidi="ar-S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7C5D6">
    <w:pPr>
      <w:pStyle w:val="6"/>
      <w:pBdr>
        <w:bottom w:val="none" w:color="auto" w:sz="0" w:space="1"/>
      </w:pBdr>
      <w:jc w:val="right"/>
      <w:rPr>
        <w:rFonts w:hint="eastAsia"/>
      </w:rPr>
    </w:pPr>
    <w:r>
      <w:rPr>
        <w:rFonts w:hint="eastAsia"/>
      </w:rPr>
      <w:t xml:space="preserve"> </w:t>
    </w:r>
  </w:p>
  <w:p w14:paraId="420E3FB1">
    <w:pPr>
      <w:pStyle w:val="6"/>
      <w:pBdr>
        <w:bottom w:val="none" w:color="auto" w:sz="0" w:space="0"/>
      </w:pBdr>
      <w:jc w:val="right"/>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abstractNum w:abstractNumId="1">
    <w:nsid w:val="00000004"/>
    <w:multiLevelType w:val="singleLevel"/>
    <w:tmpl w:val="00000004"/>
    <w:lvl w:ilvl="0" w:tentative="0">
      <w:start w:val="1"/>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22689"/>
    <w:rsid w:val="6B522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120"/>
      <w:ind w:firstLine="0" w:firstLineChars="0"/>
      <w:outlineLvl w:val="0"/>
    </w:pPr>
    <w:rPr>
      <w:rFonts w:cs="Calibri"/>
      <w:b/>
      <w:bCs/>
      <w:kern w:val="44"/>
      <w:szCs w:val="44"/>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4">
    <w:name w:val="Body Text Indent"/>
    <w:basedOn w:val="1"/>
    <w:next w:val="1"/>
    <w:qFormat/>
    <w:uiPriority w:val="0"/>
    <w:pPr>
      <w:ind w:firstLine="552"/>
    </w:pPr>
    <w:rPr>
      <w:rFonts w:ascii="宋体"/>
      <w:sz w:val="28"/>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Normal (Web)"/>
    <w:basedOn w:val="1"/>
    <w:qFormat/>
    <w:uiPriority w:val="0"/>
    <w:pPr>
      <w:spacing w:beforeAutospacing="1" w:afterAutospacing="1"/>
    </w:pPr>
    <w:rPr>
      <w:rFonts w:cs="Times New Roman"/>
      <w:sz w:val="24"/>
    </w:rPr>
  </w:style>
  <w:style w:type="paragraph" w:styleId="8">
    <w:name w:val="Body Text First Indent 2"/>
    <w:basedOn w:val="4"/>
    <w:next w:val="1"/>
    <w:qFormat/>
    <w:uiPriority w:val="0"/>
    <w:pPr>
      <w:ind w:firstLine="420" w:firstLineChars="200"/>
    </w:pPr>
  </w:style>
  <w:style w:type="character" w:styleId="11">
    <w:name w:val="page number"/>
    <w:basedOn w:val="10"/>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5">
    <w:name w:val="正文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6">
    <w:name w:val="正文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7">
    <w:name w:val="正文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8">
    <w:name w:val="正文 New New New New New New New New New New New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9">
    <w:name w:val="正文 New New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20">
    <w:name w:val="正文 New New New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21">
    <w:name w:val="正文 New New New New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22">
    <w:name w:val="正文缩进 New"/>
    <w:basedOn w:val="23"/>
    <w:qFormat/>
    <w:uiPriority w:val="0"/>
    <w:pPr>
      <w:adjustRightInd w:val="0"/>
      <w:spacing w:line="360" w:lineRule="auto"/>
      <w:ind w:firstLine="420"/>
      <w:textAlignment w:val="baseline"/>
    </w:pPr>
    <w:rPr>
      <w:rFonts w:ascii="Calibri" w:hAnsi="Calibri"/>
      <w:kern w:val="0"/>
      <w:sz w:val="24"/>
    </w:rPr>
  </w:style>
  <w:style w:type="paragraph" w:customStyle="1" w:styleId="23">
    <w:name w:val="正文 New New New New New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24">
    <w:name w:val="正文缩进 New New New New New"/>
    <w:basedOn w:val="25"/>
    <w:qFormat/>
    <w:uiPriority w:val="0"/>
    <w:pPr>
      <w:adjustRightInd w:val="0"/>
      <w:spacing w:line="360" w:lineRule="auto"/>
      <w:ind w:firstLine="420"/>
      <w:textAlignment w:val="baseline"/>
    </w:pPr>
    <w:rPr>
      <w:rFonts w:ascii="Calibri" w:hAnsi="Calibri"/>
      <w:kern w:val="0"/>
      <w:sz w:val="24"/>
    </w:rPr>
  </w:style>
  <w:style w:type="paragraph" w:customStyle="1" w:styleId="25">
    <w:name w:val="正文 New New New New New New New New New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26">
    <w:name w:val="Table Text"/>
    <w:basedOn w:val="1"/>
    <w:semiHidden/>
    <w:qFormat/>
    <w:uiPriority w:val="0"/>
    <w:rPr>
      <w:rFonts w:ascii="Arial" w:hAnsi="Arial" w:eastAsia="Arial" w:cs="Arial"/>
      <w:szCs w:val="21"/>
      <w:lang w:eastAsia="en-US"/>
    </w:rPr>
  </w:style>
  <w:style w:type="table" w:customStyle="1" w:styleId="27">
    <w:name w:val="Table Normal"/>
    <w:unhideWhenUsed/>
    <w:qFormat/>
    <w:uiPriority w:val="0"/>
    <w:tblPr>
      <w:tblCellMar>
        <w:top w:w="0" w:type="dxa"/>
        <w:left w:w="0" w:type="dxa"/>
        <w:bottom w:w="0" w:type="dxa"/>
        <w:right w:w="0" w:type="dxa"/>
      </w:tblCellMar>
    </w:tblPr>
  </w:style>
  <w:style w:type="character" w:customStyle="1" w:styleId="28">
    <w:name w:val="页码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2026-01-13T07:50:00Z</dcterms:created>
  <dc:creator>开瑞</dc:creator>
  <cp:lastModifiedBy>开瑞</cp:lastModifiedBy>
  <dcterms:modified xsi:type="dcterms:W3CDTF">2026-01-13T07:51:21Z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96CABADA3B6940E5A725C3AD4A7C0AD0_11</vt:lpwstr>
  </property>
  <property fmtid="{D5CDD505-2E9C-101B-9397-08002B2CF9AE}" pid="4" name="KSOTemplateDocerSaveRecord">
    <vt:lpwstr>eyJoZGlkIjoiYmFlMzhiZDNmYmJmZGRiZmViOTBlY2QzZmNjZjk0OTIiLCJ1c2VySWQiOiIxMTIxOTQ2NjQ4In0=</vt:lpwstr>
  </property>
</Properties>
</file>